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0F289D" w14:paraId="5DF49DB5" w14:textId="77777777">
        <w:trPr>
          <w:trHeight w:hRule="exact" w:val="709"/>
        </w:trPr>
        <w:tc>
          <w:tcPr>
            <w:tcW w:w="5613" w:type="dxa"/>
          </w:tcPr>
          <w:p w14:paraId="75478813" w14:textId="66B604C8" w:rsidR="000F289D" w:rsidRDefault="004564A3">
            <w:pPr>
              <w:spacing w:line="360" w:lineRule="auto"/>
              <w:rPr>
                <w:rFonts w:ascii="Arial" w:hAnsi="Arial"/>
                <w:sz w:val="22"/>
              </w:rPr>
            </w:pPr>
            <w:r>
              <w:rPr>
                <w:rFonts w:ascii="Arial" w:hAnsi="Arial"/>
                <w:sz w:val="22"/>
              </w:rPr>
              <w:t xml:space="preserve">Pressemitteilung Nr. </w:t>
            </w:r>
            <w:r w:rsidR="004D67DC">
              <w:rPr>
                <w:rFonts w:ascii="Arial" w:hAnsi="Arial"/>
                <w:sz w:val="22"/>
              </w:rPr>
              <w:t>345</w:t>
            </w:r>
          </w:p>
          <w:p w14:paraId="543C41EE" w14:textId="095625DA" w:rsidR="000F289D" w:rsidRDefault="004D67DC">
            <w:pPr>
              <w:rPr>
                <w:rFonts w:ascii="Arial" w:hAnsi="Arial"/>
                <w:sz w:val="16"/>
              </w:rPr>
            </w:pPr>
            <w:r>
              <w:rPr>
                <w:rFonts w:ascii="Arial" w:hAnsi="Arial"/>
                <w:noProof/>
                <w:sz w:val="22"/>
              </w:rPr>
              <w:t>24.09.</w:t>
            </w:r>
            <w:r w:rsidR="004564A3">
              <w:rPr>
                <w:rFonts w:ascii="Arial" w:hAnsi="Arial"/>
                <w:noProof/>
                <w:sz w:val="22"/>
              </w:rPr>
              <w:t>2026</w:t>
            </w:r>
          </w:p>
          <w:p w14:paraId="26BA1936" w14:textId="77777777" w:rsidR="000F289D" w:rsidRDefault="000F289D">
            <w:pPr>
              <w:rPr>
                <w:rFonts w:ascii="Arial" w:hAnsi="Arial"/>
                <w:sz w:val="16"/>
              </w:rPr>
            </w:pPr>
          </w:p>
          <w:p w14:paraId="4C65E69C" w14:textId="77777777" w:rsidR="000F289D" w:rsidRDefault="000F289D">
            <w:pPr>
              <w:rPr>
                <w:rFonts w:ascii="Arial" w:hAnsi="Arial"/>
                <w:sz w:val="16"/>
              </w:rPr>
            </w:pPr>
          </w:p>
          <w:p w14:paraId="7C4CDF23" w14:textId="77777777" w:rsidR="000F289D" w:rsidRDefault="000F289D">
            <w:pPr>
              <w:rPr>
                <w:rFonts w:ascii="Arial" w:hAnsi="Arial"/>
                <w:sz w:val="20"/>
              </w:rPr>
            </w:pPr>
          </w:p>
        </w:tc>
        <w:tc>
          <w:tcPr>
            <w:tcW w:w="4309" w:type="dxa"/>
          </w:tcPr>
          <w:p w14:paraId="2C193435" w14:textId="77777777" w:rsidR="000F289D" w:rsidRDefault="004564A3">
            <w:pPr>
              <w:rPr>
                <w:rFonts w:ascii="Arial" w:hAnsi="Arial"/>
                <w:color w:val="00A4C8"/>
                <w:sz w:val="22"/>
              </w:rPr>
            </w:pPr>
            <w:r>
              <w:rPr>
                <w:rFonts w:ascii="Arial" w:hAnsi="Arial"/>
                <w:color w:val="00A4C8"/>
                <w:sz w:val="22"/>
              </w:rPr>
              <w:t>Magistrat der Stadt Eschborn</w:t>
            </w:r>
          </w:p>
        </w:tc>
      </w:tr>
      <w:tr w:rsidR="000F289D" w14:paraId="485EB807" w14:textId="77777777">
        <w:trPr>
          <w:trHeight w:hRule="exact" w:val="538"/>
        </w:trPr>
        <w:tc>
          <w:tcPr>
            <w:tcW w:w="5613" w:type="dxa"/>
          </w:tcPr>
          <w:p w14:paraId="718FFEBD" w14:textId="77777777" w:rsidR="000F289D" w:rsidRDefault="000F289D">
            <w:pPr>
              <w:rPr>
                <w:rFonts w:ascii="Arial" w:hAnsi="Arial"/>
                <w:sz w:val="22"/>
              </w:rPr>
            </w:pPr>
          </w:p>
          <w:p w14:paraId="04F06CE9" w14:textId="77777777" w:rsidR="006A6C2C" w:rsidRDefault="006A6C2C">
            <w:pPr>
              <w:rPr>
                <w:rFonts w:ascii="Arial" w:hAnsi="Arial"/>
                <w:b/>
                <w:bCs/>
                <w:color w:val="FF0000"/>
                <w:sz w:val="22"/>
              </w:rPr>
            </w:pPr>
            <w:r w:rsidRPr="006A6C2C">
              <w:rPr>
                <w:rFonts w:ascii="Arial" w:hAnsi="Arial"/>
                <w:b/>
                <w:bCs/>
                <w:color w:val="FF0000"/>
                <w:sz w:val="22"/>
              </w:rPr>
              <w:t>– Sperrfr</w:t>
            </w:r>
            <w:r>
              <w:rPr>
                <w:rFonts w:ascii="Arial" w:hAnsi="Arial"/>
                <w:b/>
                <w:bCs/>
                <w:color w:val="FF0000"/>
                <w:sz w:val="22"/>
              </w:rPr>
              <w:t>i</w:t>
            </w:r>
            <w:r w:rsidRPr="006A6C2C">
              <w:rPr>
                <w:rFonts w:ascii="Arial" w:hAnsi="Arial"/>
                <w:b/>
                <w:bCs/>
                <w:color w:val="FF0000"/>
                <w:sz w:val="22"/>
              </w:rPr>
              <w:t>st 24.09.2026, 20 Uhr –</w:t>
            </w:r>
          </w:p>
          <w:p w14:paraId="7F52FFF3" w14:textId="77777777" w:rsidR="006A6C2C" w:rsidRDefault="006A6C2C">
            <w:pPr>
              <w:rPr>
                <w:rFonts w:ascii="Arial" w:hAnsi="Arial"/>
                <w:b/>
                <w:bCs/>
                <w:color w:val="FF0000"/>
                <w:sz w:val="22"/>
              </w:rPr>
            </w:pPr>
          </w:p>
          <w:p w14:paraId="0C531B66" w14:textId="262F00B3" w:rsidR="006A6C2C" w:rsidRPr="006A6C2C" w:rsidRDefault="006A6C2C">
            <w:pPr>
              <w:rPr>
                <w:rFonts w:ascii="Arial" w:hAnsi="Arial"/>
                <w:b/>
                <w:bCs/>
                <w:sz w:val="22"/>
              </w:rPr>
            </w:pPr>
          </w:p>
        </w:tc>
        <w:tc>
          <w:tcPr>
            <w:tcW w:w="4309" w:type="dxa"/>
          </w:tcPr>
          <w:p w14:paraId="6B4EC815" w14:textId="77777777" w:rsidR="000F289D" w:rsidRDefault="000F289D">
            <w:pPr>
              <w:rPr>
                <w:rFonts w:ascii="Arial" w:hAnsi="Arial"/>
                <w:sz w:val="22"/>
              </w:rPr>
            </w:pPr>
          </w:p>
        </w:tc>
      </w:tr>
    </w:tbl>
    <w:p w14:paraId="74C6BBAF" w14:textId="77777777" w:rsidR="000F289D" w:rsidRDefault="004564A3">
      <w:pPr>
        <w:framePr w:w="1247" w:h="1531" w:hRule="exact" w:vSpace="142" w:wrap="around" w:vAnchor="page" w:hAnchor="page" w:x="7179" w:y="744"/>
      </w:pPr>
      <w:r>
        <w:rPr>
          <w:noProof/>
          <w:lang w:eastAsia="de-DE"/>
        </w:rPr>
        <w:drawing>
          <wp:inline distT="0" distB="0" distL="0" distR="0" wp14:anchorId="1671979C" wp14:editId="1ED20747">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71B0BEF" w14:textId="77777777" w:rsidR="000F289D" w:rsidRDefault="004564A3">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A6DECD5" wp14:editId="6623908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DECD5"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D6B78B4" wp14:editId="1F029B69">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57DE8" w14:textId="77777777" w:rsidR="000F289D" w:rsidRDefault="000F289D">
      <w:pPr>
        <w:spacing w:line="360" w:lineRule="auto"/>
        <w:rPr>
          <w:rFonts w:ascii="Arial" w:hAnsi="Arial"/>
          <w:sz w:val="22"/>
        </w:rPr>
      </w:pPr>
    </w:p>
    <w:p w14:paraId="6EDBFBF4" w14:textId="77777777" w:rsidR="000F289D" w:rsidRDefault="000F289D">
      <w:pPr>
        <w:spacing w:line="360" w:lineRule="auto"/>
        <w:rPr>
          <w:rFonts w:ascii="Arial" w:hAnsi="Arial"/>
          <w:sz w:val="22"/>
        </w:rPr>
      </w:pPr>
    </w:p>
    <w:p w14:paraId="51DCF230" w14:textId="77777777" w:rsidR="006A6C2C" w:rsidRDefault="006A6C2C" w:rsidP="00F4643C">
      <w:pPr>
        <w:pStyle w:val="KeinLeerraum"/>
        <w:spacing w:after="240"/>
        <w:rPr>
          <w:rFonts w:ascii="Arial" w:hAnsi="Arial"/>
          <w:b/>
          <w:color w:val="auto"/>
          <w:sz w:val="30"/>
          <w:szCs w:val="30"/>
        </w:rPr>
      </w:pPr>
    </w:p>
    <w:p w14:paraId="740EA502" w14:textId="2E3211AD" w:rsidR="00CD5B9D" w:rsidRDefault="00CD5B9D" w:rsidP="00F4643C">
      <w:pPr>
        <w:pStyle w:val="KeinLeerraum"/>
        <w:spacing w:after="240"/>
        <w:rPr>
          <w:rFonts w:ascii="Arial" w:hAnsi="Arial"/>
          <w:b/>
          <w:color w:val="auto"/>
          <w:sz w:val="30"/>
          <w:szCs w:val="30"/>
        </w:rPr>
      </w:pPr>
      <w:r w:rsidRPr="00CD5B9D">
        <w:rPr>
          <w:rFonts w:ascii="Arial" w:hAnsi="Arial"/>
          <w:b/>
          <w:color w:val="auto"/>
          <w:sz w:val="30"/>
          <w:szCs w:val="30"/>
        </w:rPr>
        <w:t>Finanzkraft sichern, Projekte umsetzen</w:t>
      </w:r>
    </w:p>
    <w:p w14:paraId="16DCA7EB" w14:textId="44EA845B" w:rsidR="000F289D" w:rsidRDefault="00CD5B9D" w:rsidP="00F4643C">
      <w:pPr>
        <w:pStyle w:val="KeinLeerraum"/>
        <w:spacing w:after="240"/>
        <w:rPr>
          <w:rFonts w:ascii="Arial" w:hAnsi="Arial"/>
          <w:b/>
          <w:color w:val="auto"/>
        </w:rPr>
      </w:pPr>
      <w:r>
        <w:rPr>
          <w:rFonts w:ascii="Arial" w:hAnsi="Arial"/>
          <w:b/>
          <w:color w:val="auto"/>
        </w:rPr>
        <w:t>Haushaltsplan für 2027 aufgestellt</w:t>
      </w:r>
    </w:p>
    <w:p w14:paraId="5A80714A" w14:textId="77777777" w:rsidR="00F4643C" w:rsidRDefault="00F4643C">
      <w:pPr>
        <w:pStyle w:val="KeinLeerraum"/>
        <w:rPr>
          <w:rFonts w:ascii="Arial" w:hAnsi="Arial"/>
          <w:b/>
          <w:color w:val="auto"/>
        </w:rPr>
      </w:pPr>
    </w:p>
    <w:p w14:paraId="1AA38DEA" w14:textId="31992D09" w:rsidR="00CD5B9D" w:rsidRDefault="00CD5B9D" w:rsidP="00BD785F">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w:t>
      </w:r>
      <w:r w:rsidRPr="00CD5B9D">
        <w:rPr>
          <w:rFonts w:ascii="Arial" w:eastAsia="Times New Roman" w:hAnsi="Arial" w:cs="Arial"/>
          <w:color w:val="000000"/>
          <w:sz w:val="22"/>
          <w:szCs w:val="22"/>
          <w:lang w:eastAsia="de-DE"/>
        </w:rPr>
        <w:t xml:space="preserve">Eschborn geht mit einer sehr starken finanziellen Grundlage in das kommende Haushaltsjahr. Zugleich zeigt der Entwurf, wie stark äußere Belastungen inzwischen auf unseren Haushalt einwirken. </w:t>
      </w:r>
      <w:r w:rsidR="009B2375">
        <w:rPr>
          <w:rFonts w:ascii="Arial" w:eastAsia="Times New Roman" w:hAnsi="Arial" w:cs="Arial"/>
          <w:color w:val="000000"/>
          <w:sz w:val="22"/>
          <w:szCs w:val="22"/>
          <w:lang w:eastAsia="de-DE"/>
        </w:rPr>
        <w:t>D</w:t>
      </w:r>
      <w:r w:rsidRPr="00CD5B9D">
        <w:rPr>
          <w:rFonts w:ascii="Arial" w:eastAsia="Times New Roman" w:hAnsi="Arial" w:cs="Arial"/>
          <w:color w:val="000000"/>
          <w:sz w:val="22"/>
          <w:szCs w:val="22"/>
          <w:lang w:eastAsia="de-DE"/>
        </w:rPr>
        <w:t>ie Umlagen steigen deutlich</w:t>
      </w:r>
      <w:r w:rsidR="009B2375">
        <w:rPr>
          <w:rFonts w:ascii="Arial" w:eastAsia="Times New Roman" w:hAnsi="Arial" w:cs="Arial"/>
          <w:color w:val="000000"/>
          <w:sz w:val="22"/>
          <w:szCs w:val="22"/>
          <w:lang w:eastAsia="de-DE"/>
        </w:rPr>
        <w:t>, g</w:t>
      </w:r>
      <w:r w:rsidRPr="00CD5B9D">
        <w:rPr>
          <w:rFonts w:ascii="Arial" w:eastAsia="Times New Roman" w:hAnsi="Arial" w:cs="Arial"/>
          <w:color w:val="000000"/>
          <w:sz w:val="22"/>
          <w:szCs w:val="22"/>
          <w:lang w:eastAsia="de-DE"/>
        </w:rPr>
        <w:t>leichzeitig wollen und müssen wir die Projekte umsetzen, über die in dieser Stadt lange Zeit beraten und entschieden wurde.</w:t>
      </w:r>
      <w:r>
        <w:rPr>
          <w:rFonts w:ascii="Arial" w:eastAsia="Times New Roman" w:hAnsi="Arial" w:cs="Arial"/>
          <w:color w:val="000000"/>
          <w:sz w:val="22"/>
          <w:szCs w:val="22"/>
          <w:lang w:eastAsia="de-DE"/>
        </w:rPr>
        <w:t xml:space="preserve">“ Mit diesen Worten eröffnete Bürgermeister Adnan Shaikh seine diesjährige Rede zum </w:t>
      </w:r>
      <w:r w:rsidR="00F63FFE">
        <w:rPr>
          <w:rFonts w:ascii="Arial" w:eastAsia="Times New Roman" w:hAnsi="Arial" w:cs="Arial"/>
          <w:color w:val="000000"/>
          <w:sz w:val="22"/>
          <w:szCs w:val="22"/>
          <w:lang w:eastAsia="de-DE"/>
        </w:rPr>
        <w:t>Entwurf des Haushaltsplans für das J</w:t>
      </w:r>
      <w:r>
        <w:rPr>
          <w:rFonts w:ascii="Arial" w:eastAsia="Times New Roman" w:hAnsi="Arial" w:cs="Arial"/>
          <w:color w:val="000000"/>
          <w:sz w:val="22"/>
          <w:szCs w:val="22"/>
          <w:lang w:eastAsia="de-DE"/>
        </w:rPr>
        <w:t>ahr 2027 in der Stadtverordnetenversammlung</w:t>
      </w:r>
      <w:r w:rsidR="008B65A6">
        <w:rPr>
          <w:rFonts w:ascii="Arial" w:eastAsia="Times New Roman" w:hAnsi="Arial" w:cs="Arial"/>
          <w:color w:val="000000"/>
          <w:sz w:val="22"/>
          <w:szCs w:val="22"/>
          <w:lang w:eastAsia="de-DE"/>
        </w:rPr>
        <w:t xml:space="preserve"> am Donnerstag, dem 24. September 2026</w:t>
      </w:r>
      <w:r>
        <w:rPr>
          <w:rFonts w:ascii="Arial" w:eastAsia="Times New Roman" w:hAnsi="Arial" w:cs="Arial"/>
          <w:color w:val="000000"/>
          <w:sz w:val="22"/>
          <w:szCs w:val="22"/>
          <w:lang w:eastAsia="de-DE"/>
        </w:rPr>
        <w:t>.</w:t>
      </w:r>
    </w:p>
    <w:p w14:paraId="7036A2A7" w14:textId="77777777" w:rsidR="00CD5B9D" w:rsidRDefault="00CD5B9D" w:rsidP="00BD785F">
      <w:pPr>
        <w:spacing w:line="360" w:lineRule="auto"/>
        <w:ind w:right="23"/>
        <w:jc w:val="both"/>
        <w:rPr>
          <w:rFonts w:ascii="Arial" w:eastAsia="Times New Roman" w:hAnsi="Arial" w:cs="Arial"/>
          <w:color w:val="000000"/>
          <w:sz w:val="22"/>
          <w:szCs w:val="22"/>
          <w:lang w:eastAsia="de-DE"/>
        </w:rPr>
      </w:pPr>
    </w:p>
    <w:p w14:paraId="76F5F14F" w14:textId="0E21C1C5" w:rsidR="000F289D" w:rsidRDefault="00F63FFE" w:rsidP="00BD785F">
      <w:pPr>
        <w:spacing w:line="360" w:lineRule="auto"/>
        <w:ind w:right="23"/>
        <w:jc w:val="both"/>
        <w:rPr>
          <w:rFonts w:ascii="Arial" w:eastAsia="Times New Roman" w:hAnsi="Arial" w:cs="Arial"/>
          <w:color w:val="000000"/>
          <w:sz w:val="22"/>
          <w:szCs w:val="22"/>
          <w:lang w:eastAsia="de-DE"/>
        </w:rPr>
      </w:pPr>
      <w:r w:rsidRPr="00F63FFE">
        <w:rPr>
          <w:rFonts w:ascii="Arial" w:eastAsia="Times New Roman" w:hAnsi="Arial" w:cs="Arial"/>
          <w:color w:val="000000"/>
          <w:sz w:val="22"/>
          <w:szCs w:val="22"/>
          <w:lang w:eastAsia="de-DE"/>
        </w:rPr>
        <w:t xml:space="preserve">Der </w:t>
      </w:r>
      <w:r>
        <w:rPr>
          <w:rFonts w:ascii="Arial" w:eastAsia="Times New Roman" w:hAnsi="Arial" w:cs="Arial"/>
          <w:color w:val="000000"/>
          <w:sz w:val="22"/>
          <w:szCs w:val="22"/>
          <w:lang w:eastAsia="de-DE"/>
        </w:rPr>
        <w:t xml:space="preserve">vorgelegte </w:t>
      </w:r>
      <w:r w:rsidRPr="00F63FFE">
        <w:rPr>
          <w:rFonts w:ascii="Arial" w:eastAsia="Times New Roman" w:hAnsi="Arial" w:cs="Arial"/>
          <w:color w:val="000000"/>
          <w:sz w:val="22"/>
          <w:szCs w:val="22"/>
          <w:lang w:eastAsia="de-DE"/>
        </w:rPr>
        <w:t xml:space="preserve">Entwurf enthält bereits </w:t>
      </w:r>
      <w:r>
        <w:rPr>
          <w:rFonts w:ascii="Arial" w:eastAsia="Times New Roman" w:hAnsi="Arial" w:cs="Arial"/>
          <w:color w:val="000000"/>
          <w:sz w:val="22"/>
          <w:szCs w:val="22"/>
          <w:lang w:eastAsia="de-DE"/>
        </w:rPr>
        <w:t xml:space="preserve">eine </w:t>
      </w:r>
      <w:r w:rsidRPr="00F63FFE">
        <w:rPr>
          <w:rFonts w:ascii="Arial" w:eastAsia="Times New Roman" w:hAnsi="Arial" w:cs="Arial"/>
          <w:color w:val="000000"/>
          <w:sz w:val="22"/>
          <w:szCs w:val="22"/>
          <w:lang w:eastAsia="de-DE"/>
        </w:rPr>
        <w:t xml:space="preserve">pauschale Kürzung um zwei Prozent der zahlungswirksamen ordentlichen Aufwendungen. </w:t>
      </w:r>
      <w:r w:rsidR="00A37B6D" w:rsidRPr="00A37B6D">
        <w:rPr>
          <w:rFonts w:ascii="Arial" w:eastAsia="Times New Roman" w:hAnsi="Arial" w:cs="Arial"/>
          <w:color w:val="000000"/>
          <w:sz w:val="22"/>
          <w:szCs w:val="22"/>
          <w:lang w:eastAsia="de-DE"/>
        </w:rPr>
        <w:t>Sie folgt dem Hessischen Finanzplanungserlass in der aktuell gültigen Fassung vom 8. September 2026.</w:t>
      </w:r>
      <w:r w:rsidR="00A37B6D">
        <w:rPr>
          <w:rFonts w:ascii="Arial" w:eastAsia="Times New Roman" w:hAnsi="Arial" w:cs="Arial"/>
          <w:color w:val="000000"/>
          <w:sz w:val="22"/>
          <w:szCs w:val="22"/>
          <w:lang w:eastAsia="de-DE"/>
        </w:rPr>
        <w:t xml:space="preserve"> </w:t>
      </w:r>
      <w:r w:rsidRPr="00F63FFE">
        <w:rPr>
          <w:rFonts w:ascii="Arial" w:eastAsia="Times New Roman" w:hAnsi="Arial" w:cs="Arial"/>
          <w:color w:val="000000"/>
          <w:sz w:val="22"/>
          <w:szCs w:val="22"/>
          <w:lang w:eastAsia="de-DE"/>
        </w:rPr>
        <w:t>Nach dieser Kürzung weist der Haushalt ein geplantes Jahresdefizit von rund 7,8 Millionen Euro aus. Dieser Fehlbetrag kann aus der Ergebnisrücklage ausgeglichen werden. Die Rücklage bleibt dabei auf einem sehr hohen Niveau.</w:t>
      </w:r>
      <w:r>
        <w:rPr>
          <w:rFonts w:ascii="Arial" w:eastAsia="Times New Roman" w:hAnsi="Arial" w:cs="Arial"/>
          <w:color w:val="000000"/>
          <w:sz w:val="22"/>
          <w:szCs w:val="22"/>
          <w:lang w:eastAsia="de-DE"/>
        </w:rPr>
        <w:t xml:space="preserve"> </w:t>
      </w:r>
    </w:p>
    <w:p w14:paraId="54376733" w14:textId="77777777" w:rsidR="000F289D" w:rsidRDefault="000F289D" w:rsidP="00BD785F">
      <w:pPr>
        <w:spacing w:line="360" w:lineRule="auto"/>
        <w:ind w:right="23"/>
        <w:jc w:val="both"/>
        <w:rPr>
          <w:rFonts w:ascii="Arial" w:eastAsia="Times New Roman" w:hAnsi="Arial" w:cs="Arial"/>
          <w:color w:val="000000"/>
          <w:sz w:val="22"/>
          <w:szCs w:val="22"/>
          <w:lang w:eastAsia="de-DE"/>
        </w:rPr>
      </w:pPr>
    </w:p>
    <w:p w14:paraId="3595837B" w14:textId="26E8BA53" w:rsidR="00F63FFE" w:rsidRDefault="00F26D5A" w:rsidP="00BD785F">
      <w:pPr>
        <w:keepLines/>
        <w:spacing w:line="360" w:lineRule="auto"/>
        <w:jc w:val="both"/>
        <w:rPr>
          <w:rFonts w:ascii="Arial" w:eastAsia="Times New Roman" w:hAnsi="Arial" w:cs="Arial"/>
          <w:color w:val="000000"/>
          <w:sz w:val="22"/>
          <w:szCs w:val="22"/>
          <w:lang w:eastAsia="de-DE"/>
        </w:rPr>
      </w:pPr>
      <w:r w:rsidRPr="00F26D5A">
        <w:rPr>
          <w:rFonts w:ascii="Arial" w:eastAsia="Times New Roman" w:hAnsi="Arial" w:cs="Arial"/>
          <w:color w:val="000000"/>
          <w:sz w:val="22"/>
          <w:szCs w:val="22"/>
          <w:lang w:eastAsia="de-DE"/>
        </w:rPr>
        <w:t xml:space="preserve">Basierend auf den Erfahrungen der vergangenen Jahre </w:t>
      </w:r>
      <w:r w:rsidR="00F63FFE" w:rsidRPr="00F26D5A">
        <w:rPr>
          <w:rFonts w:ascii="Arial" w:eastAsia="Times New Roman" w:hAnsi="Arial" w:cs="Arial"/>
          <w:color w:val="000000"/>
          <w:sz w:val="22"/>
          <w:szCs w:val="22"/>
          <w:lang w:eastAsia="de-DE"/>
        </w:rPr>
        <w:t>erwarte</w:t>
      </w:r>
      <w:r w:rsidRPr="00F26D5A">
        <w:rPr>
          <w:rFonts w:ascii="Arial" w:eastAsia="Times New Roman" w:hAnsi="Arial" w:cs="Arial"/>
          <w:color w:val="000000"/>
          <w:sz w:val="22"/>
          <w:szCs w:val="22"/>
          <w:lang w:eastAsia="de-DE"/>
        </w:rPr>
        <w:t xml:space="preserve">t Shaikh einen deutlich besseren </w:t>
      </w:r>
      <w:r w:rsidR="00F63FFE" w:rsidRPr="00F26D5A">
        <w:rPr>
          <w:rFonts w:ascii="Arial" w:eastAsia="Times New Roman" w:hAnsi="Arial" w:cs="Arial"/>
          <w:color w:val="000000"/>
          <w:sz w:val="22"/>
          <w:szCs w:val="22"/>
          <w:lang w:eastAsia="de-DE"/>
        </w:rPr>
        <w:t xml:space="preserve">Jahresabschluss 2027 </w:t>
      </w:r>
      <w:r w:rsidRPr="00F26D5A">
        <w:rPr>
          <w:rFonts w:ascii="Arial" w:eastAsia="Times New Roman" w:hAnsi="Arial" w:cs="Arial"/>
          <w:color w:val="000000"/>
          <w:sz w:val="22"/>
          <w:szCs w:val="22"/>
          <w:lang w:eastAsia="de-DE"/>
        </w:rPr>
        <w:t xml:space="preserve">im Vergleich zum </w:t>
      </w:r>
      <w:r w:rsidR="00F63FFE" w:rsidRPr="00F26D5A">
        <w:rPr>
          <w:rFonts w:ascii="Arial" w:eastAsia="Times New Roman" w:hAnsi="Arial" w:cs="Arial"/>
          <w:color w:val="000000"/>
          <w:sz w:val="22"/>
          <w:szCs w:val="22"/>
          <w:lang w:eastAsia="de-DE"/>
        </w:rPr>
        <w:t xml:space="preserve">Planansatz. </w:t>
      </w:r>
      <w:r w:rsidRPr="00F26D5A">
        <w:rPr>
          <w:rFonts w:ascii="Arial" w:eastAsia="Times New Roman" w:hAnsi="Arial" w:cs="Arial"/>
          <w:color w:val="000000"/>
          <w:sz w:val="22"/>
          <w:szCs w:val="22"/>
          <w:lang w:eastAsia="de-DE"/>
        </w:rPr>
        <w:t>„B</w:t>
      </w:r>
      <w:r w:rsidR="00F63FFE" w:rsidRPr="00F26D5A">
        <w:rPr>
          <w:rFonts w:ascii="Arial" w:eastAsia="Times New Roman" w:hAnsi="Arial" w:cs="Arial"/>
          <w:color w:val="000000"/>
          <w:sz w:val="22"/>
          <w:szCs w:val="22"/>
          <w:lang w:eastAsia="de-DE"/>
        </w:rPr>
        <w:t xml:space="preserve">essere Abschlüsse </w:t>
      </w:r>
      <w:r w:rsidRPr="00F26D5A">
        <w:rPr>
          <w:rFonts w:ascii="Arial" w:eastAsia="Times New Roman" w:hAnsi="Arial" w:cs="Arial"/>
          <w:color w:val="000000"/>
          <w:sz w:val="22"/>
          <w:szCs w:val="22"/>
          <w:lang w:eastAsia="de-DE"/>
        </w:rPr>
        <w:t xml:space="preserve">können jedoch </w:t>
      </w:r>
      <w:r w:rsidR="00F63FFE" w:rsidRPr="00F26D5A">
        <w:rPr>
          <w:rFonts w:ascii="Arial" w:eastAsia="Times New Roman" w:hAnsi="Arial" w:cs="Arial"/>
          <w:color w:val="000000"/>
          <w:sz w:val="22"/>
          <w:szCs w:val="22"/>
          <w:lang w:eastAsia="de-DE"/>
        </w:rPr>
        <w:t xml:space="preserve">auch entstehen, wenn Projekte später beginnen oder Mittel nicht wie vorgesehen abfließen. Deshalb gehört zu diesem Haushalt ein verbindlicheres Projektmanagement. Wir müssen </w:t>
      </w:r>
      <w:r w:rsidRPr="00F26D5A">
        <w:rPr>
          <w:rFonts w:ascii="Arial" w:eastAsia="Times New Roman" w:hAnsi="Arial" w:cs="Arial"/>
          <w:color w:val="000000"/>
          <w:sz w:val="22"/>
          <w:szCs w:val="22"/>
          <w:lang w:eastAsia="de-DE"/>
        </w:rPr>
        <w:t>frühzeitig</w:t>
      </w:r>
      <w:r w:rsidR="00F63FFE" w:rsidRPr="00F26D5A">
        <w:rPr>
          <w:rFonts w:ascii="Arial" w:eastAsia="Times New Roman" w:hAnsi="Arial" w:cs="Arial"/>
          <w:color w:val="000000"/>
          <w:sz w:val="22"/>
          <w:szCs w:val="22"/>
          <w:lang w:eastAsia="de-DE"/>
        </w:rPr>
        <w:t xml:space="preserve"> erkennen, wo Zeitpläne nicht ausreichen, Entscheidungen fehlen oder personelle Kapazitäten nicht ausreichen</w:t>
      </w:r>
      <w:r w:rsidR="008B65A6">
        <w:rPr>
          <w:rFonts w:ascii="Arial" w:eastAsia="Times New Roman" w:hAnsi="Arial" w:cs="Arial"/>
          <w:color w:val="000000"/>
          <w:sz w:val="22"/>
          <w:szCs w:val="22"/>
          <w:lang w:eastAsia="de-DE"/>
        </w:rPr>
        <w:t>, um entsprechende Maßnahmen treffen zu können</w:t>
      </w:r>
      <w:r w:rsidR="00F63FFE" w:rsidRPr="00F26D5A">
        <w:rPr>
          <w:rFonts w:ascii="Arial" w:eastAsia="Times New Roman" w:hAnsi="Arial" w:cs="Arial"/>
          <w:color w:val="000000"/>
          <w:sz w:val="22"/>
          <w:szCs w:val="22"/>
          <w:lang w:eastAsia="de-DE"/>
        </w:rPr>
        <w:t>.</w:t>
      </w:r>
      <w:r w:rsidRPr="00F26D5A">
        <w:rPr>
          <w:rFonts w:ascii="Arial" w:eastAsia="Times New Roman" w:hAnsi="Arial" w:cs="Arial"/>
          <w:color w:val="000000"/>
          <w:sz w:val="22"/>
          <w:szCs w:val="22"/>
          <w:lang w:eastAsia="de-DE"/>
        </w:rPr>
        <w:t>“</w:t>
      </w:r>
    </w:p>
    <w:p w14:paraId="555ACB7D" w14:textId="77777777" w:rsidR="006A6C2C" w:rsidRDefault="006A6C2C" w:rsidP="00BD785F">
      <w:pPr>
        <w:keepLines/>
        <w:jc w:val="both"/>
      </w:pPr>
    </w:p>
    <w:p w14:paraId="37EDA716" w14:textId="77777777" w:rsidR="002661CD" w:rsidRDefault="002661CD">
      <w:pPr>
        <w:rPr>
          <w:rFonts w:ascii="Arial" w:hAnsi="Arial" w:cs="Arial"/>
          <w:b/>
          <w:sz w:val="22"/>
          <w:szCs w:val="22"/>
        </w:rPr>
      </w:pPr>
      <w:r>
        <w:rPr>
          <w:rFonts w:ascii="Arial" w:hAnsi="Arial" w:cs="Arial"/>
          <w:b/>
          <w:sz w:val="22"/>
          <w:szCs w:val="22"/>
        </w:rPr>
        <w:br w:type="page"/>
      </w:r>
    </w:p>
    <w:p w14:paraId="27AFCA24" w14:textId="6429F01E" w:rsidR="002661CD" w:rsidRDefault="00F63FFE" w:rsidP="00BD785F">
      <w:pPr>
        <w:keepLines/>
        <w:spacing w:line="360" w:lineRule="auto"/>
        <w:jc w:val="both"/>
        <w:rPr>
          <w:rFonts w:ascii="Arial" w:hAnsi="Arial" w:cs="Arial"/>
          <w:sz w:val="22"/>
          <w:szCs w:val="22"/>
        </w:rPr>
      </w:pPr>
      <w:r w:rsidRPr="006A6C2C">
        <w:rPr>
          <w:rFonts w:ascii="Arial" w:hAnsi="Arial" w:cs="Arial"/>
          <w:b/>
          <w:sz w:val="22"/>
          <w:szCs w:val="22"/>
        </w:rPr>
        <w:lastRenderedPageBreak/>
        <w:t>Eckdaten des Haushalts 2027</w:t>
      </w:r>
      <w:r w:rsidRPr="006A6C2C">
        <w:rPr>
          <w:rFonts w:ascii="Arial" w:hAnsi="Arial" w:cs="Arial"/>
          <w:sz w:val="22"/>
          <w:szCs w:val="22"/>
        </w:rPr>
        <w:t xml:space="preserve"> </w:t>
      </w:r>
    </w:p>
    <w:p w14:paraId="463C1765" w14:textId="7362930A" w:rsidR="00F63FFE" w:rsidRPr="002661CD" w:rsidRDefault="002661CD" w:rsidP="00BD785F">
      <w:pPr>
        <w:keepLines/>
        <w:spacing w:line="360" w:lineRule="auto"/>
        <w:jc w:val="both"/>
        <w:rPr>
          <w:rFonts w:ascii="Arial" w:hAnsi="Arial" w:cs="Arial"/>
          <w:b/>
          <w:sz w:val="22"/>
          <w:szCs w:val="22"/>
        </w:rPr>
      </w:pPr>
      <w:r>
        <w:rPr>
          <w:rFonts w:ascii="Arial" w:hAnsi="Arial" w:cs="Arial"/>
          <w:sz w:val="22"/>
          <w:szCs w:val="22"/>
        </w:rPr>
        <w:t>D</w:t>
      </w:r>
      <w:r w:rsidR="006A6C2C" w:rsidRPr="0039278D">
        <w:rPr>
          <w:rFonts w:ascii="Arial" w:hAnsi="Arial" w:cs="Arial"/>
          <w:sz w:val="22"/>
          <w:szCs w:val="22"/>
        </w:rPr>
        <w:t xml:space="preserve">ie Stadtverwaltung plant mit </w:t>
      </w:r>
      <w:r w:rsidR="00F63FFE" w:rsidRPr="0039278D">
        <w:rPr>
          <w:rFonts w:ascii="Arial" w:hAnsi="Arial" w:cs="Arial"/>
          <w:sz w:val="22"/>
          <w:szCs w:val="22"/>
        </w:rPr>
        <w:t>ordentlichen Erträgen von rund 375,9 Millionen Euro.</w:t>
      </w:r>
      <w:r w:rsidR="0039278D" w:rsidRPr="0039278D">
        <w:rPr>
          <w:rFonts w:ascii="Arial" w:hAnsi="Arial" w:cs="Arial"/>
          <w:sz w:val="22"/>
          <w:szCs w:val="22"/>
        </w:rPr>
        <w:t xml:space="preserve"> </w:t>
      </w:r>
      <w:r w:rsidR="00F63FFE" w:rsidRPr="0039278D">
        <w:rPr>
          <w:rFonts w:ascii="Arial" w:hAnsi="Arial" w:cs="Arial"/>
          <w:sz w:val="22"/>
          <w:szCs w:val="22"/>
        </w:rPr>
        <w:t>Dem stehen ordentliche Aufwendungen von rund 389,4 Millionen Euro gegenüber.</w:t>
      </w:r>
      <w:r w:rsidR="0039278D" w:rsidRPr="0039278D">
        <w:rPr>
          <w:rFonts w:ascii="Arial" w:hAnsi="Arial" w:cs="Arial"/>
          <w:sz w:val="22"/>
          <w:szCs w:val="22"/>
        </w:rPr>
        <w:t xml:space="preserve"> </w:t>
      </w:r>
      <w:r w:rsidR="00F63FFE" w:rsidRPr="0039278D">
        <w:rPr>
          <w:rFonts w:ascii="Arial" w:hAnsi="Arial" w:cs="Arial"/>
          <w:sz w:val="22"/>
          <w:szCs w:val="22"/>
        </w:rPr>
        <w:t>Unter Berücksichtigung des Finanzergebnisses ergibt sich das geplante Jahresdefizit von rund 7,8 Millionen Euro.</w:t>
      </w:r>
    </w:p>
    <w:p w14:paraId="0A5A4DF1" w14:textId="2A7E060F" w:rsidR="00F63FFE" w:rsidRPr="0039278D" w:rsidRDefault="00F63FFE" w:rsidP="00BD785F">
      <w:pPr>
        <w:keepLines/>
        <w:spacing w:line="360" w:lineRule="auto"/>
        <w:jc w:val="both"/>
        <w:rPr>
          <w:rFonts w:ascii="Arial" w:hAnsi="Arial" w:cs="Arial"/>
          <w:sz w:val="22"/>
          <w:szCs w:val="22"/>
        </w:rPr>
      </w:pPr>
      <w:r w:rsidRPr="0039278D">
        <w:rPr>
          <w:rFonts w:ascii="Arial" w:hAnsi="Arial" w:cs="Arial"/>
          <w:sz w:val="22"/>
          <w:szCs w:val="22"/>
        </w:rPr>
        <w:t>Gleichzeitig sieht der Haushalt Investitionsauszahlungen in Höhe von 78,</w:t>
      </w:r>
      <w:r w:rsidR="00854648">
        <w:rPr>
          <w:rFonts w:ascii="Arial" w:hAnsi="Arial" w:cs="Arial"/>
          <w:sz w:val="22"/>
          <w:szCs w:val="22"/>
        </w:rPr>
        <w:t>2</w:t>
      </w:r>
      <w:r w:rsidR="00854648" w:rsidRPr="0039278D">
        <w:rPr>
          <w:rFonts w:ascii="Arial" w:hAnsi="Arial" w:cs="Arial"/>
          <w:sz w:val="22"/>
          <w:szCs w:val="22"/>
        </w:rPr>
        <w:t xml:space="preserve"> </w:t>
      </w:r>
      <w:r w:rsidRPr="0039278D">
        <w:rPr>
          <w:rFonts w:ascii="Arial" w:hAnsi="Arial" w:cs="Arial"/>
          <w:sz w:val="22"/>
          <w:szCs w:val="22"/>
        </w:rPr>
        <w:t xml:space="preserve">Millionen Euro vor. </w:t>
      </w:r>
      <w:r w:rsidR="0039278D" w:rsidRPr="0039278D">
        <w:rPr>
          <w:rFonts w:ascii="Arial" w:hAnsi="Arial" w:cs="Arial"/>
          <w:sz w:val="22"/>
          <w:szCs w:val="22"/>
        </w:rPr>
        <w:t xml:space="preserve">Diese </w:t>
      </w:r>
      <w:r w:rsidRPr="0039278D">
        <w:rPr>
          <w:rFonts w:ascii="Arial" w:hAnsi="Arial" w:cs="Arial"/>
          <w:sz w:val="22"/>
          <w:szCs w:val="22"/>
        </w:rPr>
        <w:t>umfass</w:t>
      </w:r>
      <w:r w:rsidR="0039278D" w:rsidRPr="0039278D">
        <w:rPr>
          <w:rFonts w:ascii="Arial" w:hAnsi="Arial" w:cs="Arial"/>
          <w:sz w:val="22"/>
          <w:szCs w:val="22"/>
        </w:rPr>
        <w:t>en</w:t>
      </w:r>
      <w:r w:rsidRPr="0039278D">
        <w:rPr>
          <w:rFonts w:ascii="Arial" w:hAnsi="Arial" w:cs="Arial"/>
          <w:sz w:val="22"/>
          <w:szCs w:val="22"/>
        </w:rPr>
        <w:t xml:space="preserve"> Vorhaben, die das Stadtbild, die kommunale Infrastruktur und die Leistungsfähigkeit der Stadtverwaltung über viele Jahre prägen werden.</w:t>
      </w:r>
    </w:p>
    <w:p w14:paraId="146B833E" w14:textId="77777777" w:rsidR="0039278D" w:rsidRDefault="0039278D" w:rsidP="00BD785F">
      <w:pPr>
        <w:keepLines/>
        <w:jc w:val="both"/>
      </w:pPr>
    </w:p>
    <w:p w14:paraId="567854B3" w14:textId="4B26B7C4" w:rsidR="0039278D" w:rsidRPr="0039278D" w:rsidRDefault="001D3C8D" w:rsidP="00BD785F">
      <w:pPr>
        <w:keepLines/>
        <w:spacing w:line="360" w:lineRule="auto"/>
        <w:jc w:val="both"/>
        <w:rPr>
          <w:rFonts w:ascii="Arial" w:hAnsi="Arial" w:cs="Arial"/>
          <w:b/>
          <w:bCs/>
          <w:sz w:val="22"/>
          <w:szCs w:val="22"/>
        </w:rPr>
      </w:pPr>
      <w:r>
        <w:rPr>
          <w:rFonts w:ascii="Arial" w:hAnsi="Arial" w:cs="Arial"/>
          <w:b/>
          <w:bCs/>
          <w:sz w:val="22"/>
          <w:szCs w:val="22"/>
        </w:rPr>
        <w:t xml:space="preserve">Einnahmen – </w:t>
      </w:r>
      <w:r w:rsidR="008B65A6">
        <w:rPr>
          <w:rFonts w:ascii="Arial" w:hAnsi="Arial" w:cs="Arial"/>
          <w:b/>
          <w:bCs/>
          <w:sz w:val="22"/>
          <w:szCs w:val="22"/>
        </w:rPr>
        <w:t>Steigende Erträge durch positive Entwicklung der Gewerbesteuer</w:t>
      </w:r>
    </w:p>
    <w:p w14:paraId="19B78A4F" w14:textId="77777777" w:rsidR="009E5507" w:rsidRPr="00BD785F" w:rsidRDefault="009E5507" w:rsidP="009E5507">
      <w:pPr>
        <w:keepLines/>
        <w:spacing w:line="360" w:lineRule="auto"/>
        <w:jc w:val="both"/>
        <w:rPr>
          <w:rFonts w:ascii="Arial" w:hAnsi="Arial" w:cs="Arial"/>
          <w:sz w:val="22"/>
          <w:szCs w:val="22"/>
        </w:rPr>
      </w:pPr>
      <w:r w:rsidRPr="00BD785F">
        <w:rPr>
          <w:rFonts w:ascii="Arial" w:hAnsi="Arial" w:cs="Arial"/>
          <w:sz w:val="22"/>
          <w:szCs w:val="22"/>
        </w:rPr>
        <w:t xml:space="preserve">Die ordentlichen Erträge steigen gegenüber dem Plan für 2026 um rund 44,6 Millionen Euro auf 375,9 Millionen Euro. Davon entfallen mit rund 347,8 Millionen Euro etwa 92,5 Prozent auf Steuern und steuerähnliche Erträge. </w:t>
      </w:r>
    </w:p>
    <w:p w14:paraId="1E9569F7" w14:textId="0EEAB1BB" w:rsidR="00F63FFE" w:rsidRDefault="00F63FFE" w:rsidP="00BD785F">
      <w:pPr>
        <w:keepLines/>
        <w:spacing w:line="360" w:lineRule="auto"/>
        <w:jc w:val="both"/>
        <w:rPr>
          <w:rFonts w:ascii="Arial" w:hAnsi="Arial" w:cs="Arial"/>
          <w:sz w:val="22"/>
          <w:szCs w:val="22"/>
        </w:rPr>
      </w:pPr>
      <w:r w:rsidRPr="0039278D">
        <w:rPr>
          <w:rFonts w:ascii="Arial" w:hAnsi="Arial" w:cs="Arial"/>
          <w:sz w:val="22"/>
          <w:szCs w:val="22"/>
        </w:rPr>
        <w:t>Die Gewerbesteuer</w:t>
      </w:r>
      <w:r w:rsidR="0039278D" w:rsidRPr="0039278D">
        <w:rPr>
          <w:rFonts w:ascii="Arial" w:hAnsi="Arial" w:cs="Arial"/>
          <w:sz w:val="22"/>
          <w:szCs w:val="22"/>
        </w:rPr>
        <w:t>e</w:t>
      </w:r>
      <w:r w:rsidRPr="0039278D">
        <w:rPr>
          <w:rFonts w:ascii="Arial" w:hAnsi="Arial" w:cs="Arial"/>
          <w:sz w:val="22"/>
          <w:szCs w:val="22"/>
        </w:rPr>
        <w:t xml:space="preserve">innahmen </w:t>
      </w:r>
      <w:r w:rsidR="0039278D" w:rsidRPr="0039278D">
        <w:rPr>
          <w:rFonts w:ascii="Arial" w:hAnsi="Arial" w:cs="Arial"/>
          <w:sz w:val="22"/>
          <w:szCs w:val="22"/>
        </w:rPr>
        <w:t xml:space="preserve">werden im kommenden Jahr auf </w:t>
      </w:r>
      <w:r w:rsidRPr="0039278D">
        <w:rPr>
          <w:rFonts w:ascii="Arial" w:hAnsi="Arial" w:cs="Arial"/>
          <w:sz w:val="22"/>
          <w:szCs w:val="22"/>
        </w:rPr>
        <w:t>300 Millionen Euro</w:t>
      </w:r>
      <w:r w:rsidR="0039278D" w:rsidRPr="0039278D">
        <w:rPr>
          <w:rFonts w:ascii="Arial" w:hAnsi="Arial" w:cs="Arial"/>
          <w:sz w:val="22"/>
          <w:szCs w:val="22"/>
        </w:rPr>
        <w:t xml:space="preserve"> angesetzt</w:t>
      </w:r>
      <w:r w:rsidR="009E5507">
        <w:rPr>
          <w:rFonts w:ascii="Arial" w:hAnsi="Arial" w:cs="Arial"/>
          <w:sz w:val="22"/>
          <w:szCs w:val="22"/>
        </w:rPr>
        <w:t xml:space="preserve"> und bilden damit die größte Einnahmequelle</w:t>
      </w:r>
      <w:r w:rsidRPr="0039278D">
        <w:rPr>
          <w:rFonts w:ascii="Arial" w:hAnsi="Arial" w:cs="Arial"/>
          <w:sz w:val="22"/>
          <w:szCs w:val="22"/>
        </w:rPr>
        <w:t xml:space="preserve">. Die Entwicklung der vergangenen Jahre ist positiv. </w:t>
      </w:r>
    </w:p>
    <w:p w14:paraId="6453D7A7" w14:textId="5C2EEF1E" w:rsidR="0039278D" w:rsidRPr="0039278D" w:rsidRDefault="0039278D" w:rsidP="00BD785F">
      <w:pPr>
        <w:keepLines/>
        <w:spacing w:line="360" w:lineRule="auto"/>
        <w:jc w:val="both"/>
        <w:rPr>
          <w:rFonts w:ascii="Arial" w:hAnsi="Arial" w:cs="Arial"/>
          <w:sz w:val="22"/>
          <w:szCs w:val="22"/>
        </w:rPr>
      </w:pPr>
      <w:r>
        <w:rPr>
          <w:noProof/>
        </w:rPr>
        <w:drawing>
          <wp:inline distT="0" distB="0" distL="0" distR="0" wp14:anchorId="0F984870" wp14:editId="10A8CB99">
            <wp:extent cx="5756910" cy="2441575"/>
            <wp:effectExtent l="0" t="0" r="0" b="0"/>
            <wp:docPr id="3" name="Diagram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008FEA9" w14:textId="77777777" w:rsidR="0039278D" w:rsidRDefault="0039278D" w:rsidP="00BD785F">
      <w:pPr>
        <w:keepLines/>
        <w:jc w:val="both"/>
      </w:pPr>
    </w:p>
    <w:p w14:paraId="29C66C9A" w14:textId="13CBFE19" w:rsidR="00F63FFE" w:rsidRDefault="00F63FFE" w:rsidP="00BD785F">
      <w:pPr>
        <w:keepLines/>
        <w:spacing w:line="360" w:lineRule="auto"/>
        <w:jc w:val="both"/>
        <w:rPr>
          <w:rFonts w:ascii="Arial" w:hAnsi="Arial" w:cs="Arial"/>
          <w:sz w:val="22"/>
          <w:szCs w:val="22"/>
        </w:rPr>
      </w:pPr>
      <w:r w:rsidRPr="00BD785F">
        <w:rPr>
          <w:rFonts w:ascii="Arial" w:hAnsi="Arial" w:cs="Arial"/>
          <w:sz w:val="22"/>
          <w:szCs w:val="22"/>
        </w:rPr>
        <w:t>Der Gemeindeanteil an der Einkommensteuer</w:t>
      </w:r>
      <w:r w:rsidR="00BD785F" w:rsidRPr="00BD785F">
        <w:rPr>
          <w:rFonts w:ascii="Arial" w:hAnsi="Arial" w:cs="Arial"/>
          <w:sz w:val="22"/>
          <w:szCs w:val="22"/>
        </w:rPr>
        <w:t xml:space="preserve"> bildet weiterhin die </w:t>
      </w:r>
      <w:r w:rsidR="00BD785F" w:rsidRPr="00BD785F">
        <w:rPr>
          <w:rFonts w:ascii="Arial" w:eastAsia="Times New Roman" w:hAnsi="Arial" w:cs="Arial"/>
          <w:sz w:val="22"/>
          <w:szCs w:val="22"/>
          <w:lang w:eastAsia="de-DE"/>
        </w:rPr>
        <w:t>zweitgrößte Einnahmequelle,</w:t>
      </w:r>
      <w:r w:rsidRPr="00BD785F">
        <w:rPr>
          <w:rFonts w:ascii="Arial" w:hAnsi="Arial" w:cs="Arial"/>
          <w:sz w:val="22"/>
          <w:szCs w:val="22"/>
        </w:rPr>
        <w:t xml:space="preserve"> liegt </w:t>
      </w:r>
      <w:r w:rsidR="00BD785F" w:rsidRPr="00BD785F">
        <w:rPr>
          <w:rFonts w:ascii="Arial" w:hAnsi="Arial" w:cs="Arial"/>
          <w:sz w:val="22"/>
          <w:szCs w:val="22"/>
        </w:rPr>
        <w:t xml:space="preserve">mit </w:t>
      </w:r>
      <w:r w:rsidRPr="00BD785F">
        <w:rPr>
          <w:rFonts w:ascii="Arial" w:hAnsi="Arial" w:cs="Arial"/>
          <w:sz w:val="22"/>
          <w:szCs w:val="22"/>
        </w:rPr>
        <w:t xml:space="preserve">rund 23,5 Millionen Euro </w:t>
      </w:r>
      <w:r w:rsidR="00BD785F" w:rsidRPr="00BD785F">
        <w:rPr>
          <w:rFonts w:ascii="Arial" w:hAnsi="Arial" w:cs="Arial"/>
          <w:sz w:val="22"/>
          <w:szCs w:val="22"/>
        </w:rPr>
        <w:t xml:space="preserve">allerdings leicht </w:t>
      </w:r>
      <w:r w:rsidRPr="00BD785F">
        <w:rPr>
          <w:rFonts w:ascii="Arial" w:hAnsi="Arial" w:cs="Arial"/>
          <w:sz w:val="22"/>
          <w:szCs w:val="22"/>
        </w:rPr>
        <w:t>unter dem Planwert für 2026.</w:t>
      </w:r>
      <w:r w:rsidR="00BD785F" w:rsidRPr="00BD785F">
        <w:rPr>
          <w:rFonts w:ascii="Arial" w:hAnsi="Arial" w:cs="Arial"/>
          <w:sz w:val="22"/>
          <w:szCs w:val="22"/>
        </w:rPr>
        <w:t xml:space="preserve"> </w:t>
      </w:r>
      <w:r w:rsidRPr="00BD785F">
        <w:rPr>
          <w:rFonts w:ascii="Arial" w:hAnsi="Arial" w:cs="Arial"/>
          <w:sz w:val="22"/>
          <w:szCs w:val="22"/>
        </w:rPr>
        <w:t>Der Anteil an der Umsatzsteuer steigt dagegen auf rund 21 Millionen Euro.</w:t>
      </w:r>
    </w:p>
    <w:p w14:paraId="34729F2E" w14:textId="43B86134" w:rsidR="009E5507" w:rsidRPr="00BD785F" w:rsidRDefault="009E5507" w:rsidP="00BD785F">
      <w:pPr>
        <w:keepLines/>
        <w:spacing w:line="360" w:lineRule="auto"/>
        <w:jc w:val="both"/>
        <w:rPr>
          <w:rFonts w:ascii="Arial" w:hAnsi="Arial" w:cs="Arial"/>
          <w:sz w:val="22"/>
          <w:szCs w:val="22"/>
        </w:rPr>
      </w:pPr>
      <w:r>
        <w:rPr>
          <w:noProof/>
        </w:rPr>
        <w:lastRenderedPageBreak/>
        <w:drawing>
          <wp:anchor distT="0" distB="0" distL="114300" distR="114300" simplePos="0" relativeHeight="251659264" behindDoc="1" locked="0" layoutInCell="1" allowOverlap="1" wp14:anchorId="38F7E1A5" wp14:editId="43A3496E">
            <wp:simplePos x="0" y="0"/>
            <wp:positionH relativeFrom="column">
              <wp:posOffset>2700655</wp:posOffset>
            </wp:positionH>
            <wp:positionV relativeFrom="paragraph">
              <wp:posOffset>64770</wp:posOffset>
            </wp:positionV>
            <wp:extent cx="2667000" cy="3267075"/>
            <wp:effectExtent l="0" t="0" r="0" b="0"/>
            <wp:wrapTight wrapText="bothSides">
              <wp:wrapPolygon edited="0">
                <wp:start x="154" y="0"/>
                <wp:lineTo x="0" y="378"/>
                <wp:lineTo x="0" y="21159"/>
                <wp:lineTo x="154" y="21411"/>
                <wp:lineTo x="21291" y="21411"/>
                <wp:lineTo x="21446" y="21159"/>
                <wp:lineTo x="21446" y="378"/>
                <wp:lineTo x="21291" y="0"/>
                <wp:lineTo x="154" y="0"/>
              </wp:wrapPolygon>
            </wp:wrapTight>
            <wp:docPr id="7" name="Diagramm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2EAF52CE" wp14:editId="589A7A84">
            <wp:simplePos x="0" y="0"/>
            <wp:positionH relativeFrom="column">
              <wp:posOffset>-4445</wp:posOffset>
            </wp:positionH>
            <wp:positionV relativeFrom="paragraph">
              <wp:posOffset>113030</wp:posOffset>
            </wp:positionV>
            <wp:extent cx="2895600" cy="3219450"/>
            <wp:effectExtent l="0" t="0" r="0" b="0"/>
            <wp:wrapTight wrapText="bothSides">
              <wp:wrapPolygon edited="0">
                <wp:start x="142" y="0"/>
                <wp:lineTo x="0" y="383"/>
                <wp:lineTo x="0" y="21217"/>
                <wp:lineTo x="142" y="21472"/>
                <wp:lineTo x="21316" y="21472"/>
                <wp:lineTo x="21458" y="21217"/>
                <wp:lineTo x="21458" y="383"/>
                <wp:lineTo x="21316" y="0"/>
                <wp:lineTo x="142" y="0"/>
              </wp:wrapPolygon>
            </wp:wrapTight>
            <wp:docPr id="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Pr>
          <w:rFonts w:ascii="Arial" w:hAnsi="Arial" w:cs="Arial"/>
          <w:sz w:val="22"/>
          <w:szCs w:val="22"/>
        </w:rPr>
        <w:t xml:space="preserve">  </w:t>
      </w:r>
    </w:p>
    <w:p w14:paraId="14932A3A" w14:textId="7A952154" w:rsidR="00BD785F" w:rsidRDefault="00BD785F" w:rsidP="00F63FFE">
      <w:pPr>
        <w:keepLines/>
      </w:pPr>
    </w:p>
    <w:p w14:paraId="3F24322A" w14:textId="77777777" w:rsidR="009E5507" w:rsidRDefault="009E5507" w:rsidP="00F63FFE">
      <w:pPr>
        <w:keepLines/>
      </w:pPr>
    </w:p>
    <w:p w14:paraId="631780E8" w14:textId="77777777" w:rsidR="009E5507" w:rsidRDefault="009E5507" w:rsidP="00F63FFE">
      <w:pPr>
        <w:keepLines/>
      </w:pPr>
    </w:p>
    <w:p w14:paraId="375D338D" w14:textId="77777777" w:rsidR="009E5507" w:rsidRDefault="009E5507" w:rsidP="00F63FFE">
      <w:pPr>
        <w:keepLines/>
      </w:pPr>
    </w:p>
    <w:p w14:paraId="53444B17" w14:textId="77777777" w:rsidR="009E5507" w:rsidRDefault="009E5507" w:rsidP="00F63FFE">
      <w:pPr>
        <w:keepLines/>
      </w:pPr>
    </w:p>
    <w:p w14:paraId="1DC13DC4" w14:textId="77777777" w:rsidR="009E5507" w:rsidRDefault="009E5507" w:rsidP="00F63FFE">
      <w:pPr>
        <w:keepLines/>
      </w:pPr>
    </w:p>
    <w:p w14:paraId="46891E15" w14:textId="77777777" w:rsidR="009E5507" w:rsidRDefault="009E5507" w:rsidP="00F63FFE">
      <w:pPr>
        <w:keepLines/>
      </w:pPr>
    </w:p>
    <w:p w14:paraId="5051AA59" w14:textId="77777777" w:rsidR="009E5507" w:rsidRDefault="009E5507" w:rsidP="00F63FFE">
      <w:pPr>
        <w:keepLines/>
      </w:pPr>
    </w:p>
    <w:p w14:paraId="09E6B62C" w14:textId="77777777" w:rsidR="009E5507" w:rsidRDefault="009E5507" w:rsidP="00F63FFE">
      <w:pPr>
        <w:keepLines/>
      </w:pPr>
    </w:p>
    <w:p w14:paraId="359FC4B1" w14:textId="77777777" w:rsidR="009E5507" w:rsidRDefault="009E5507" w:rsidP="00F63FFE">
      <w:pPr>
        <w:keepLines/>
      </w:pPr>
    </w:p>
    <w:p w14:paraId="19100E69" w14:textId="77777777" w:rsidR="009E5507" w:rsidRDefault="009E5507" w:rsidP="00F63FFE">
      <w:pPr>
        <w:keepLines/>
      </w:pPr>
    </w:p>
    <w:p w14:paraId="28B5A17C" w14:textId="77777777" w:rsidR="009E5507" w:rsidRDefault="009E5507" w:rsidP="00F63FFE">
      <w:pPr>
        <w:keepLines/>
      </w:pPr>
    </w:p>
    <w:p w14:paraId="4B04D08E" w14:textId="77777777" w:rsidR="009E5507" w:rsidRDefault="009E5507" w:rsidP="00F63FFE">
      <w:pPr>
        <w:keepLines/>
      </w:pPr>
    </w:p>
    <w:p w14:paraId="2A61C40D" w14:textId="77777777" w:rsidR="009E5507" w:rsidRDefault="009E5507" w:rsidP="00F63FFE">
      <w:pPr>
        <w:keepLines/>
      </w:pPr>
    </w:p>
    <w:p w14:paraId="4D0BA1FE" w14:textId="77777777" w:rsidR="009E5507" w:rsidRDefault="009E5507" w:rsidP="00F63FFE">
      <w:pPr>
        <w:keepLines/>
      </w:pPr>
    </w:p>
    <w:p w14:paraId="3D536054" w14:textId="77777777" w:rsidR="009E5507" w:rsidRDefault="009E5507" w:rsidP="00F63FFE">
      <w:pPr>
        <w:keepLines/>
      </w:pPr>
    </w:p>
    <w:p w14:paraId="510DD609" w14:textId="77777777" w:rsidR="009E5507" w:rsidRDefault="009E5507" w:rsidP="00F63FFE">
      <w:pPr>
        <w:keepLines/>
      </w:pPr>
      <w:r>
        <w:br/>
      </w:r>
      <w:r>
        <w:br/>
      </w:r>
    </w:p>
    <w:p w14:paraId="1E82E289" w14:textId="527ACDF9" w:rsidR="00F63FFE" w:rsidRPr="009E5507" w:rsidRDefault="008B65A6" w:rsidP="009E5507">
      <w:pPr>
        <w:keepLines/>
        <w:spacing w:line="360" w:lineRule="auto"/>
        <w:jc w:val="both"/>
        <w:rPr>
          <w:rFonts w:ascii="Arial" w:hAnsi="Arial" w:cs="Arial"/>
          <w:sz w:val="22"/>
          <w:szCs w:val="22"/>
        </w:rPr>
      </w:pPr>
      <w:r>
        <w:rPr>
          <w:rFonts w:ascii="Arial" w:hAnsi="Arial" w:cs="Arial"/>
          <w:sz w:val="22"/>
          <w:szCs w:val="22"/>
        </w:rPr>
        <w:t>Die</w:t>
      </w:r>
      <w:r w:rsidR="00BD785F" w:rsidRPr="009E5507">
        <w:rPr>
          <w:rFonts w:ascii="Arial" w:hAnsi="Arial" w:cs="Arial"/>
          <w:sz w:val="22"/>
          <w:szCs w:val="22"/>
        </w:rPr>
        <w:t xml:space="preserve"> </w:t>
      </w:r>
      <w:r w:rsidR="00F63FFE" w:rsidRPr="009E5507">
        <w:rPr>
          <w:rFonts w:ascii="Arial" w:hAnsi="Arial" w:cs="Arial"/>
          <w:sz w:val="22"/>
          <w:szCs w:val="22"/>
        </w:rPr>
        <w:t xml:space="preserve">finanzielle Leistungsfähigkeit </w:t>
      </w:r>
      <w:r w:rsidR="00BD785F" w:rsidRPr="009E5507">
        <w:rPr>
          <w:rFonts w:ascii="Arial" w:hAnsi="Arial" w:cs="Arial"/>
          <w:sz w:val="22"/>
          <w:szCs w:val="22"/>
        </w:rPr>
        <w:t>der Stadt</w:t>
      </w:r>
      <w:r>
        <w:rPr>
          <w:rFonts w:ascii="Arial" w:hAnsi="Arial" w:cs="Arial"/>
          <w:sz w:val="22"/>
          <w:szCs w:val="22"/>
        </w:rPr>
        <w:t xml:space="preserve"> hängt</w:t>
      </w:r>
      <w:r w:rsidR="00BD785F" w:rsidRPr="009E5507">
        <w:rPr>
          <w:rFonts w:ascii="Arial" w:hAnsi="Arial" w:cs="Arial"/>
          <w:sz w:val="22"/>
          <w:szCs w:val="22"/>
        </w:rPr>
        <w:t xml:space="preserve"> </w:t>
      </w:r>
      <w:r>
        <w:rPr>
          <w:rFonts w:ascii="Arial" w:hAnsi="Arial" w:cs="Arial"/>
          <w:sz w:val="22"/>
          <w:szCs w:val="22"/>
        </w:rPr>
        <w:t xml:space="preserve">somit </w:t>
      </w:r>
      <w:r w:rsidR="00F63FFE" w:rsidRPr="009E5507">
        <w:rPr>
          <w:rFonts w:ascii="Arial" w:hAnsi="Arial" w:cs="Arial"/>
          <w:sz w:val="22"/>
          <w:szCs w:val="22"/>
        </w:rPr>
        <w:t>insbesondere von der Gewerbesteuer</w:t>
      </w:r>
      <w:r w:rsidR="00BD785F" w:rsidRPr="009E5507">
        <w:rPr>
          <w:rFonts w:ascii="Arial" w:hAnsi="Arial" w:cs="Arial"/>
          <w:sz w:val="22"/>
          <w:szCs w:val="22"/>
        </w:rPr>
        <w:t xml:space="preserve"> </w:t>
      </w:r>
      <w:r w:rsidR="00F63FFE" w:rsidRPr="009E5507">
        <w:rPr>
          <w:rFonts w:ascii="Arial" w:hAnsi="Arial" w:cs="Arial"/>
          <w:sz w:val="22"/>
          <w:szCs w:val="22"/>
        </w:rPr>
        <w:t xml:space="preserve">ab. Deshalb </w:t>
      </w:r>
      <w:r w:rsidR="00BD785F" w:rsidRPr="009E5507">
        <w:rPr>
          <w:rFonts w:ascii="Arial" w:hAnsi="Arial" w:cs="Arial"/>
          <w:sz w:val="22"/>
          <w:szCs w:val="22"/>
        </w:rPr>
        <w:t xml:space="preserve">muss die Verwaltung den </w:t>
      </w:r>
      <w:r w:rsidR="00F63FFE" w:rsidRPr="009E5507">
        <w:rPr>
          <w:rFonts w:ascii="Arial" w:hAnsi="Arial" w:cs="Arial"/>
          <w:sz w:val="22"/>
          <w:szCs w:val="22"/>
        </w:rPr>
        <w:t>Wirtschaftsstandort weiterentwicke</w:t>
      </w:r>
      <w:r w:rsidR="00BD785F" w:rsidRPr="009E5507">
        <w:rPr>
          <w:rFonts w:ascii="Arial" w:hAnsi="Arial" w:cs="Arial"/>
          <w:sz w:val="22"/>
          <w:szCs w:val="22"/>
        </w:rPr>
        <w:t>ln</w:t>
      </w:r>
      <w:r w:rsidR="00F63FFE" w:rsidRPr="009E5507">
        <w:rPr>
          <w:rFonts w:ascii="Arial" w:hAnsi="Arial" w:cs="Arial"/>
          <w:sz w:val="22"/>
          <w:szCs w:val="22"/>
        </w:rPr>
        <w:t>, bestehende Unternehmen verlässlich begleiten und die Gewerbegebiete zukunftsfähig halten. Dies sicher</w:t>
      </w:r>
      <w:r w:rsidR="00BD785F" w:rsidRPr="009E5507">
        <w:rPr>
          <w:rFonts w:ascii="Arial" w:hAnsi="Arial" w:cs="Arial"/>
          <w:sz w:val="22"/>
          <w:szCs w:val="22"/>
        </w:rPr>
        <w:t>t</w:t>
      </w:r>
      <w:r w:rsidR="00F63FFE" w:rsidRPr="009E5507">
        <w:rPr>
          <w:rFonts w:ascii="Arial" w:hAnsi="Arial" w:cs="Arial"/>
          <w:sz w:val="22"/>
          <w:szCs w:val="22"/>
        </w:rPr>
        <w:t xml:space="preserve"> langfristig die Grundlage für die Leistungen und Investitionen der Stadt.</w:t>
      </w:r>
      <w:r w:rsidR="00BA084E">
        <w:rPr>
          <w:rFonts w:ascii="Arial" w:hAnsi="Arial" w:cs="Arial"/>
          <w:sz w:val="22"/>
          <w:szCs w:val="22"/>
        </w:rPr>
        <w:t xml:space="preserve"> </w:t>
      </w:r>
      <w:r w:rsidR="00F63FFE" w:rsidRPr="009E5507">
        <w:rPr>
          <w:rFonts w:ascii="Arial" w:hAnsi="Arial" w:cs="Arial"/>
          <w:sz w:val="22"/>
          <w:szCs w:val="22"/>
        </w:rPr>
        <w:t>Das Gewerbegebiet Eschborn</w:t>
      </w:r>
      <w:r w:rsidR="000E4232">
        <w:rPr>
          <w:rFonts w:ascii="Arial" w:hAnsi="Arial" w:cs="Arial"/>
          <w:sz w:val="22"/>
          <w:szCs w:val="22"/>
        </w:rPr>
        <w:t>-</w:t>
      </w:r>
      <w:r w:rsidR="00F63FFE" w:rsidRPr="009E5507">
        <w:rPr>
          <w:rFonts w:ascii="Arial" w:hAnsi="Arial" w:cs="Arial"/>
          <w:sz w:val="22"/>
          <w:szCs w:val="22"/>
        </w:rPr>
        <w:t xml:space="preserve">Süd </w:t>
      </w:r>
      <w:r w:rsidR="009E5507" w:rsidRPr="009E5507">
        <w:rPr>
          <w:rFonts w:ascii="Arial" w:hAnsi="Arial" w:cs="Arial"/>
          <w:sz w:val="22"/>
          <w:szCs w:val="22"/>
        </w:rPr>
        <w:t xml:space="preserve">soll aus diesem Grund </w:t>
      </w:r>
      <w:r w:rsidR="00F63FFE" w:rsidRPr="009E5507">
        <w:rPr>
          <w:rFonts w:ascii="Arial" w:hAnsi="Arial" w:cs="Arial"/>
          <w:sz w:val="22"/>
          <w:szCs w:val="22"/>
        </w:rPr>
        <w:t>mit einem</w:t>
      </w:r>
      <w:r w:rsidR="009E5507">
        <w:rPr>
          <w:rFonts w:ascii="Arial" w:hAnsi="Arial" w:cs="Arial"/>
          <w:sz w:val="22"/>
          <w:szCs w:val="22"/>
        </w:rPr>
        <w:t xml:space="preserve"> </w:t>
      </w:r>
      <w:r w:rsidR="00F63FFE" w:rsidRPr="009E5507">
        <w:rPr>
          <w:rFonts w:ascii="Arial" w:hAnsi="Arial" w:cs="Arial"/>
          <w:sz w:val="22"/>
          <w:szCs w:val="22"/>
        </w:rPr>
        <w:t xml:space="preserve">Stadtentwicklungskonzept auch für die kommenden Entwicklungszyklen als Headquarter-Standort </w:t>
      </w:r>
      <w:r w:rsidR="009E5507" w:rsidRPr="009E5507">
        <w:rPr>
          <w:rFonts w:ascii="Arial" w:hAnsi="Arial" w:cs="Arial"/>
          <w:sz w:val="22"/>
          <w:szCs w:val="22"/>
        </w:rPr>
        <w:t>ge</w:t>
      </w:r>
      <w:r w:rsidR="00F63FFE" w:rsidRPr="009E5507">
        <w:rPr>
          <w:rFonts w:ascii="Arial" w:hAnsi="Arial" w:cs="Arial"/>
          <w:sz w:val="22"/>
          <w:szCs w:val="22"/>
        </w:rPr>
        <w:t>sicher</w:t>
      </w:r>
      <w:r w:rsidR="009E5507" w:rsidRPr="009E5507">
        <w:rPr>
          <w:rFonts w:ascii="Arial" w:hAnsi="Arial" w:cs="Arial"/>
          <w:sz w:val="22"/>
          <w:szCs w:val="22"/>
        </w:rPr>
        <w:t>t werden</w:t>
      </w:r>
      <w:r>
        <w:rPr>
          <w:rFonts w:ascii="Arial" w:hAnsi="Arial" w:cs="Arial"/>
          <w:sz w:val="22"/>
          <w:szCs w:val="22"/>
        </w:rPr>
        <w:t xml:space="preserve"> und </w:t>
      </w:r>
      <w:r w:rsidR="00F63FFE" w:rsidRPr="009E5507">
        <w:rPr>
          <w:rFonts w:ascii="Arial" w:hAnsi="Arial" w:cs="Arial"/>
          <w:sz w:val="22"/>
          <w:szCs w:val="22"/>
        </w:rPr>
        <w:t xml:space="preserve">Unternehmen langfristig gute Bedingungen für ihre weitere Entwicklung </w:t>
      </w:r>
      <w:r>
        <w:rPr>
          <w:rFonts w:ascii="Arial" w:hAnsi="Arial" w:cs="Arial"/>
          <w:sz w:val="22"/>
          <w:szCs w:val="22"/>
        </w:rPr>
        <w:t>bieten</w:t>
      </w:r>
      <w:r w:rsidR="00F63FFE" w:rsidRPr="009E5507">
        <w:rPr>
          <w:rFonts w:ascii="Arial" w:hAnsi="Arial" w:cs="Arial"/>
          <w:sz w:val="22"/>
          <w:szCs w:val="22"/>
        </w:rPr>
        <w:t xml:space="preserve">. </w:t>
      </w:r>
    </w:p>
    <w:p w14:paraId="60574BC3" w14:textId="77777777" w:rsidR="009E5507" w:rsidRDefault="009E5507" w:rsidP="009E5507">
      <w:pPr>
        <w:keepLines/>
      </w:pPr>
    </w:p>
    <w:p w14:paraId="2BBEB03E" w14:textId="4EB9825B" w:rsidR="009E5507" w:rsidRPr="009E5507" w:rsidRDefault="009E5507" w:rsidP="009E5507">
      <w:pPr>
        <w:keepLines/>
        <w:spacing w:line="360" w:lineRule="auto"/>
        <w:rPr>
          <w:rFonts w:ascii="Arial" w:hAnsi="Arial" w:cs="Arial"/>
          <w:b/>
          <w:bCs/>
          <w:sz w:val="22"/>
          <w:szCs w:val="22"/>
        </w:rPr>
      </w:pPr>
      <w:r w:rsidRPr="009E5507">
        <w:rPr>
          <w:rFonts w:ascii="Arial" w:hAnsi="Arial" w:cs="Arial"/>
          <w:b/>
          <w:bCs/>
          <w:sz w:val="22"/>
          <w:szCs w:val="22"/>
        </w:rPr>
        <w:t>Der Eschborn-Vorteil</w:t>
      </w:r>
    </w:p>
    <w:p w14:paraId="160F6EF1" w14:textId="2D936FFF" w:rsidR="00F63FFE" w:rsidRPr="001F48BF" w:rsidRDefault="001F48BF" w:rsidP="001F48BF">
      <w:pPr>
        <w:keepLines/>
        <w:spacing w:line="360" w:lineRule="auto"/>
        <w:jc w:val="both"/>
        <w:rPr>
          <w:rFonts w:ascii="Arial" w:hAnsi="Arial" w:cs="Arial"/>
          <w:sz w:val="22"/>
          <w:szCs w:val="22"/>
        </w:rPr>
      </w:pPr>
      <w:r w:rsidRPr="001F48BF">
        <w:rPr>
          <w:rFonts w:ascii="Arial" w:hAnsi="Arial" w:cs="Arial"/>
          <w:sz w:val="22"/>
          <w:szCs w:val="22"/>
        </w:rPr>
        <w:t>W</w:t>
      </w:r>
      <w:r w:rsidR="00F63FFE" w:rsidRPr="001F48BF">
        <w:rPr>
          <w:rFonts w:ascii="Arial" w:hAnsi="Arial" w:cs="Arial"/>
          <w:sz w:val="22"/>
          <w:szCs w:val="22"/>
        </w:rPr>
        <w:t>orin der Eschborn-Vorteil für Familien konkret liegt</w:t>
      </w:r>
      <w:r w:rsidRPr="001F48BF">
        <w:rPr>
          <w:rFonts w:ascii="Arial" w:hAnsi="Arial" w:cs="Arial"/>
          <w:sz w:val="22"/>
          <w:szCs w:val="22"/>
        </w:rPr>
        <w:t xml:space="preserve">, zeigt das Modell der fiktiven Familie </w:t>
      </w:r>
      <w:r w:rsidR="00F63FFE" w:rsidRPr="001F48BF">
        <w:rPr>
          <w:rFonts w:ascii="Arial" w:hAnsi="Arial" w:cs="Arial"/>
          <w:sz w:val="22"/>
          <w:szCs w:val="22"/>
        </w:rPr>
        <w:t>Mustermann</w:t>
      </w:r>
      <w:r w:rsidRPr="001F48BF">
        <w:rPr>
          <w:rFonts w:ascii="Arial" w:hAnsi="Arial" w:cs="Arial"/>
          <w:sz w:val="22"/>
          <w:szCs w:val="22"/>
        </w:rPr>
        <w:t>.</w:t>
      </w:r>
      <w:r w:rsidR="00F63FFE" w:rsidRPr="001F48BF">
        <w:rPr>
          <w:rFonts w:ascii="Arial" w:hAnsi="Arial" w:cs="Arial"/>
          <w:sz w:val="22"/>
          <w:szCs w:val="22"/>
        </w:rPr>
        <w:t xml:space="preserve"> Sie besteht aus zwei Erwachsenen, zwei Kindern</w:t>
      </w:r>
      <w:r w:rsidR="008B65A6">
        <w:rPr>
          <w:rFonts w:ascii="Arial" w:hAnsi="Arial" w:cs="Arial"/>
          <w:sz w:val="22"/>
          <w:szCs w:val="22"/>
        </w:rPr>
        <w:t xml:space="preserve"> und </w:t>
      </w:r>
      <w:r w:rsidR="00F63FFE" w:rsidRPr="001F48BF">
        <w:rPr>
          <w:rFonts w:ascii="Arial" w:hAnsi="Arial" w:cs="Arial"/>
          <w:sz w:val="22"/>
          <w:szCs w:val="22"/>
        </w:rPr>
        <w:t>einem Hund</w:t>
      </w:r>
      <w:r w:rsidR="008B65A6">
        <w:rPr>
          <w:rFonts w:ascii="Arial" w:hAnsi="Arial" w:cs="Arial"/>
          <w:sz w:val="22"/>
          <w:szCs w:val="22"/>
        </w:rPr>
        <w:t xml:space="preserve">, die im </w:t>
      </w:r>
      <w:r w:rsidR="001D3C8D">
        <w:rPr>
          <w:rFonts w:ascii="Arial" w:hAnsi="Arial" w:cs="Arial"/>
          <w:sz w:val="22"/>
          <w:szCs w:val="22"/>
        </w:rPr>
        <w:t xml:space="preserve">eigenen </w:t>
      </w:r>
      <w:r w:rsidR="00F63FFE" w:rsidRPr="001F48BF">
        <w:rPr>
          <w:rFonts w:ascii="Arial" w:hAnsi="Arial" w:cs="Arial"/>
          <w:sz w:val="22"/>
          <w:szCs w:val="22"/>
        </w:rPr>
        <w:t>Einfamilienhaus</w:t>
      </w:r>
      <w:r w:rsidR="001D3C8D">
        <w:rPr>
          <w:rFonts w:ascii="Arial" w:hAnsi="Arial" w:cs="Arial"/>
          <w:sz w:val="22"/>
          <w:szCs w:val="22"/>
        </w:rPr>
        <w:t xml:space="preserve"> leben</w:t>
      </w:r>
      <w:r w:rsidR="00F63FFE" w:rsidRPr="001F48BF">
        <w:rPr>
          <w:rFonts w:ascii="Arial" w:hAnsi="Arial" w:cs="Arial"/>
          <w:sz w:val="22"/>
          <w:szCs w:val="22"/>
        </w:rPr>
        <w:t>. Ein Kind besucht den Kindergarten, das andere die Schule.</w:t>
      </w:r>
    </w:p>
    <w:p w14:paraId="0FCEA0AD" w14:textId="4679D9B2" w:rsidR="001F48BF" w:rsidRDefault="00F63FFE" w:rsidP="001F48BF">
      <w:pPr>
        <w:keepLines/>
        <w:spacing w:line="360" w:lineRule="auto"/>
        <w:jc w:val="both"/>
        <w:rPr>
          <w:rFonts w:ascii="Arial" w:hAnsi="Arial" w:cs="Arial"/>
          <w:sz w:val="22"/>
          <w:szCs w:val="22"/>
        </w:rPr>
      </w:pPr>
      <w:r w:rsidRPr="001F48BF">
        <w:rPr>
          <w:rFonts w:ascii="Arial" w:hAnsi="Arial" w:cs="Arial"/>
          <w:sz w:val="22"/>
          <w:szCs w:val="22"/>
        </w:rPr>
        <w:t xml:space="preserve">Für alle betrachteten Kommunen </w:t>
      </w:r>
      <w:r w:rsidR="001F48BF" w:rsidRPr="001F48BF">
        <w:rPr>
          <w:rFonts w:ascii="Arial" w:hAnsi="Arial" w:cs="Arial"/>
          <w:sz w:val="22"/>
          <w:szCs w:val="22"/>
        </w:rPr>
        <w:t xml:space="preserve">werden </w:t>
      </w:r>
      <w:r w:rsidRPr="001F48BF">
        <w:rPr>
          <w:rFonts w:ascii="Arial" w:hAnsi="Arial" w:cs="Arial"/>
          <w:sz w:val="22"/>
          <w:szCs w:val="22"/>
        </w:rPr>
        <w:t>dieselben Annahmen</w:t>
      </w:r>
      <w:r w:rsidR="001F48BF" w:rsidRPr="001F48BF">
        <w:rPr>
          <w:rFonts w:ascii="Arial" w:hAnsi="Arial" w:cs="Arial"/>
          <w:sz w:val="22"/>
          <w:szCs w:val="22"/>
        </w:rPr>
        <w:t xml:space="preserve"> verwendet</w:t>
      </w:r>
      <w:r w:rsidRPr="001F48BF">
        <w:rPr>
          <w:rFonts w:ascii="Arial" w:hAnsi="Arial" w:cs="Arial"/>
          <w:sz w:val="22"/>
          <w:szCs w:val="22"/>
        </w:rPr>
        <w:t xml:space="preserve">: 688 Quadratmeter Grundstücksfläche, 150 Quadratmeter Wohnfläche, eine durchschnittliche Lage und einheitliche Verbrauchsmengen. In die jährliche Belastung </w:t>
      </w:r>
      <w:proofErr w:type="gramStart"/>
      <w:r w:rsidRPr="001F48BF">
        <w:rPr>
          <w:rFonts w:ascii="Arial" w:hAnsi="Arial" w:cs="Arial"/>
          <w:sz w:val="22"/>
          <w:szCs w:val="22"/>
        </w:rPr>
        <w:t>fließen</w:t>
      </w:r>
      <w:proofErr w:type="gramEnd"/>
      <w:r w:rsidRPr="001F48BF">
        <w:rPr>
          <w:rFonts w:ascii="Arial" w:hAnsi="Arial" w:cs="Arial"/>
          <w:sz w:val="22"/>
          <w:szCs w:val="22"/>
        </w:rPr>
        <w:t xml:space="preserve"> die Kita-Gebühr einschließlich Mittagessen, die Grundsteuer B, die Hundesteuer sowie die Gebühren für Abfall, Niederschlagswasser, Trinkwasser und Schmutzwasser ein.</w:t>
      </w:r>
    </w:p>
    <w:p w14:paraId="0109704B" w14:textId="00CB8027" w:rsidR="001D3C8D" w:rsidRDefault="001D3C8D" w:rsidP="001F48BF">
      <w:pPr>
        <w:keepLines/>
        <w:spacing w:line="360" w:lineRule="auto"/>
        <w:jc w:val="both"/>
        <w:rPr>
          <w:rFonts w:ascii="Arial" w:hAnsi="Arial" w:cs="Arial"/>
          <w:sz w:val="22"/>
          <w:szCs w:val="22"/>
        </w:rPr>
      </w:pPr>
      <w:r>
        <w:rPr>
          <w:noProof/>
        </w:rPr>
        <w:lastRenderedPageBreak/>
        <w:drawing>
          <wp:inline distT="0" distB="0" distL="0" distR="0" wp14:anchorId="1A0003B4" wp14:editId="2161A423">
            <wp:extent cx="5915025" cy="2638425"/>
            <wp:effectExtent l="0" t="0" r="0" b="0"/>
            <wp:docPr id="10" name="Diagram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BC6CFDA" w14:textId="618B2069" w:rsidR="001D3C8D" w:rsidRPr="001D3C8D" w:rsidRDefault="001D3C8D" w:rsidP="001D3C8D">
      <w:pPr>
        <w:keepLines/>
        <w:spacing w:line="360" w:lineRule="auto"/>
        <w:jc w:val="both"/>
        <w:rPr>
          <w:rFonts w:ascii="Arial" w:hAnsi="Arial" w:cs="Arial"/>
          <w:sz w:val="20"/>
          <w:szCs w:val="20"/>
        </w:rPr>
      </w:pPr>
      <w:r w:rsidRPr="001D3C8D">
        <w:rPr>
          <w:rFonts w:ascii="Arial" w:hAnsi="Arial" w:cs="Arial"/>
          <w:sz w:val="20"/>
          <w:szCs w:val="20"/>
        </w:rPr>
        <w:t>*Bad Soden: Mittelwert der Spanne 4.464 bis 4.536 €.</w:t>
      </w:r>
    </w:p>
    <w:p w14:paraId="3130CF59" w14:textId="77777777" w:rsidR="001D3C8D" w:rsidRPr="001F48BF" w:rsidRDefault="001D3C8D" w:rsidP="001F48BF">
      <w:pPr>
        <w:keepLines/>
        <w:spacing w:line="360" w:lineRule="auto"/>
        <w:jc w:val="both"/>
        <w:rPr>
          <w:rFonts w:ascii="Arial" w:hAnsi="Arial" w:cs="Arial"/>
          <w:sz w:val="22"/>
          <w:szCs w:val="22"/>
        </w:rPr>
      </w:pPr>
    </w:p>
    <w:p w14:paraId="04F0CDD2" w14:textId="332FB7F5" w:rsidR="00F63FFE" w:rsidRPr="001F48BF" w:rsidRDefault="00F63FFE" w:rsidP="001F48BF">
      <w:pPr>
        <w:keepLines/>
        <w:spacing w:line="360" w:lineRule="auto"/>
        <w:jc w:val="both"/>
        <w:rPr>
          <w:rFonts w:ascii="Arial" w:hAnsi="Arial" w:cs="Arial"/>
          <w:sz w:val="22"/>
          <w:szCs w:val="22"/>
        </w:rPr>
      </w:pPr>
      <w:r w:rsidRPr="001F48BF">
        <w:rPr>
          <w:rFonts w:ascii="Arial" w:hAnsi="Arial" w:cs="Arial"/>
          <w:sz w:val="22"/>
          <w:szCs w:val="22"/>
        </w:rPr>
        <w:t xml:space="preserve">Im Vergleich zu den ausgewählten Kommunen des Main-Taunus-Kreises weist Eschborn für diese Modellfamilie </w:t>
      </w:r>
      <w:r w:rsidR="00A37B6D">
        <w:rPr>
          <w:rFonts w:ascii="Arial" w:hAnsi="Arial" w:cs="Arial"/>
          <w:sz w:val="22"/>
          <w:szCs w:val="22"/>
        </w:rPr>
        <w:t xml:space="preserve">mit </w:t>
      </w:r>
      <w:r w:rsidR="00A37B6D" w:rsidRPr="001F48BF">
        <w:rPr>
          <w:rFonts w:ascii="Arial" w:hAnsi="Arial" w:cs="Arial"/>
          <w:sz w:val="22"/>
          <w:szCs w:val="22"/>
        </w:rPr>
        <w:t xml:space="preserve">rund 2.280 Euro </w:t>
      </w:r>
      <w:r w:rsidRPr="001F48BF">
        <w:rPr>
          <w:rFonts w:ascii="Arial" w:hAnsi="Arial" w:cs="Arial"/>
          <w:sz w:val="22"/>
          <w:szCs w:val="22"/>
        </w:rPr>
        <w:t xml:space="preserve">die geringste jährliche Belastung auf. In Sulzbach beträgt die Belastung </w:t>
      </w:r>
      <w:r w:rsidR="001D3C8D">
        <w:rPr>
          <w:rFonts w:ascii="Arial" w:hAnsi="Arial" w:cs="Arial"/>
          <w:sz w:val="22"/>
          <w:szCs w:val="22"/>
        </w:rPr>
        <w:t xml:space="preserve">bereits </w:t>
      </w:r>
      <w:r w:rsidRPr="001F48BF">
        <w:rPr>
          <w:rFonts w:ascii="Arial" w:hAnsi="Arial" w:cs="Arial"/>
          <w:sz w:val="22"/>
          <w:szCs w:val="22"/>
        </w:rPr>
        <w:t>rund 3.427 Euro. Für Bad Soden ergibt sich ein Mittelwert von rund 4.500 Euro. Hofheim liegt bei rund 4.899 Euro und Schwalbach bei rund 5.376 Euro.</w:t>
      </w:r>
    </w:p>
    <w:p w14:paraId="42B07552" w14:textId="77777777" w:rsidR="00705042" w:rsidRDefault="00A37B6D" w:rsidP="00A37B6D">
      <w:pPr>
        <w:keepLines/>
        <w:spacing w:line="360" w:lineRule="auto"/>
        <w:jc w:val="both"/>
        <w:rPr>
          <w:rFonts w:ascii="Arial" w:hAnsi="Arial" w:cs="Arial"/>
          <w:sz w:val="22"/>
          <w:szCs w:val="22"/>
        </w:rPr>
      </w:pPr>
      <w:r w:rsidRPr="00A37B6D">
        <w:rPr>
          <w:rFonts w:ascii="Arial" w:hAnsi="Arial" w:cs="Arial"/>
          <w:sz w:val="22"/>
          <w:szCs w:val="22"/>
        </w:rPr>
        <w:t xml:space="preserve">Insbesondere die niedrigere Belastung </w:t>
      </w:r>
      <w:r>
        <w:rPr>
          <w:rFonts w:ascii="Arial" w:hAnsi="Arial" w:cs="Arial"/>
          <w:sz w:val="22"/>
          <w:szCs w:val="22"/>
        </w:rPr>
        <w:t xml:space="preserve">bei </w:t>
      </w:r>
      <w:r w:rsidRPr="00A37B6D">
        <w:rPr>
          <w:rFonts w:ascii="Arial" w:hAnsi="Arial" w:cs="Arial"/>
          <w:sz w:val="22"/>
          <w:szCs w:val="22"/>
        </w:rPr>
        <w:t xml:space="preserve">Kita-Gebühren und Grundsteuer fallen dabei ins Gewicht. </w:t>
      </w:r>
      <w:r w:rsidR="00F63FFE" w:rsidRPr="001F48BF">
        <w:rPr>
          <w:rFonts w:ascii="Arial" w:hAnsi="Arial" w:cs="Arial"/>
          <w:sz w:val="22"/>
          <w:szCs w:val="22"/>
        </w:rPr>
        <w:t xml:space="preserve">Die Werte zeigen, dass die finanzielle Stärke Eschborns bei den Bürgerinnen und Bürgern ankommt. </w:t>
      </w:r>
    </w:p>
    <w:p w14:paraId="7EC8F832" w14:textId="02B5FF46" w:rsidR="00F63FFE" w:rsidRPr="00A37B6D" w:rsidRDefault="00300747" w:rsidP="00A37B6D">
      <w:pPr>
        <w:keepLines/>
        <w:spacing w:line="360" w:lineRule="auto"/>
        <w:jc w:val="both"/>
        <w:rPr>
          <w:rFonts w:ascii="Arial" w:hAnsi="Arial" w:cs="Arial"/>
          <w:sz w:val="22"/>
          <w:szCs w:val="22"/>
        </w:rPr>
      </w:pPr>
      <w:r>
        <w:rPr>
          <w:rFonts w:ascii="Arial" w:hAnsi="Arial" w:cs="Arial"/>
          <w:sz w:val="22"/>
          <w:szCs w:val="22"/>
        </w:rPr>
        <w:t>„</w:t>
      </w:r>
      <w:r w:rsidR="00F63FFE" w:rsidRPr="001F48BF">
        <w:rPr>
          <w:rFonts w:ascii="Arial" w:hAnsi="Arial" w:cs="Arial"/>
          <w:sz w:val="22"/>
          <w:szCs w:val="22"/>
        </w:rPr>
        <w:t>Die Stadt kann wichtige Leistungen finanzieren und hält die Belastung der Modellfamilie zugleich deutlich unterhalb der Vergleichswerte.</w:t>
      </w:r>
      <w:r w:rsidR="001F48BF" w:rsidRPr="001F48BF">
        <w:rPr>
          <w:rFonts w:ascii="Arial" w:hAnsi="Arial" w:cs="Arial"/>
          <w:sz w:val="22"/>
          <w:szCs w:val="22"/>
        </w:rPr>
        <w:t xml:space="preserve"> </w:t>
      </w:r>
      <w:r w:rsidR="00F63FFE" w:rsidRPr="001F48BF">
        <w:rPr>
          <w:rFonts w:ascii="Arial" w:hAnsi="Arial" w:cs="Arial"/>
          <w:sz w:val="22"/>
          <w:szCs w:val="22"/>
        </w:rPr>
        <w:t>Gerade in Zeiten steigender Lebenshaltungskosten ist das ein wichtiger Standortfaktor für Familien</w:t>
      </w:r>
      <w:r>
        <w:rPr>
          <w:rFonts w:ascii="Arial" w:hAnsi="Arial" w:cs="Arial"/>
          <w:sz w:val="22"/>
          <w:szCs w:val="22"/>
        </w:rPr>
        <w:t>“, hält Bürgermeister Shaikh fest.</w:t>
      </w:r>
      <w:r w:rsidR="00A37B6D">
        <w:rPr>
          <w:rFonts w:ascii="Arial" w:hAnsi="Arial" w:cs="Arial"/>
          <w:sz w:val="22"/>
          <w:szCs w:val="22"/>
        </w:rPr>
        <w:t xml:space="preserve"> </w:t>
      </w:r>
      <w:r w:rsidR="00F63FFE" w:rsidRPr="00A37B6D">
        <w:rPr>
          <w:rFonts w:ascii="Arial" w:hAnsi="Arial" w:cs="Arial"/>
          <w:sz w:val="22"/>
          <w:szCs w:val="22"/>
        </w:rPr>
        <w:t xml:space="preserve">Die tatsächliche Belastung eines Haushalts hängt </w:t>
      </w:r>
      <w:r w:rsidR="001D3C8D">
        <w:rPr>
          <w:rFonts w:ascii="Arial" w:hAnsi="Arial" w:cs="Arial"/>
          <w:sz w:val="22"/>
          <w:szCs w:val="22"/>
        </w:rPr>
        <w:t xml:space="preserve">aber selbstverständlich </w:t>
      </w:r>
      <w:r w:rsidR="00F63FFE" w:rsidRPr="00A37B6D">
        <w:rPr>
          <w:rFonts w:ascii="Arial" w:hAnsi="Arial" w:cs="Arial"/>
          <w:sz w:val="22"/>
          <w:szCs w:val="22"/>
        </w:rPr>
        <w:t>von de</w:t>
      </w:r>
      <w:r w:rsidR="00A37B6D">
        <w:rPr>
          <w:rFonts w:ascii="Arial" w:hAnsi="Arial" w:cs="Arial"/>
          <w:sz w:val="22"/>
          <w:szCs w:val="22"/>
        </w:rPr>
        <w:t>n individuellen Faktoren bei der</w:t>
      </w:r>
      <w:r w:rsidR="00F63FFE" w:rsidRPr="00A37B6D">
        <w:rPr>
          <w:rFonts w:ascii="Arial" w:hAnsi="Arial" w:cs="Arial"/>
          <w:sz w:val="22"/>
          <w:szCs w:val="22"/>
        </w:rPr>
        <w:t xml:space="preserve"> Wohnsituation, der </w:t>
      </w:r>
      <w:r w:rsidR="001D3C8D">
        <w:rPr>
          <w:rFonts w:ascii="Arial" w:hAnsi="Arial" w:cs="Arial"/>
          <w:sz w:val="22"/>
          <w:szCs w:val="22"/>
        </w:rPr>
        <w:t>Kinderb</w:t>
      </w:r>
      <w:r w:rsidR="00F63FFE" w:rsidRPr="00A37B6D">
        <w:rPr>
          <w:rFonts w:ascii="Arial" w:hAnsi="Arial" w:cs="Arial"/>
          <w:sz w:val="22"/>
          <w:szCs w:val="22"/>
        </w:rPr>
        <w:t>etreuung und dem Verbrauch ab.</w:t>
      </w:r>
    </w:p>
    <w:p w14:paraId="36222250" w14:textId="77777777" w:rsidR="001F48BF" w:rsidRDefault="001F48BF" w:rsidP="00A37B6D">
      <w:pPr>
        <w:keepLines/>
        <w:spacing w:line="360" w:lineRule="auto"/>
        <w:rPr>
          <w:rFonts w:ascii="Arial" w:hAnsi="Arial" w:cs="Arial"/>
          <w:sz w:val="22"/>
          <w:szCs w:val="22"/>
        </w:rPr>
      </w:pPr>
    </w:p>
    <w:p w14:paraId="1F7ABD72" w14:textId="0551F354" w:rsidR="00A37B6D" w:rsidRPr="00A37B6D" w:rsidRDefault="001D3C8D" w:rsidP="00A37B6D">
      <w:pPr>
        <w:keepLines/>
        <w:spacing w:line="360" w:lineRule="auto"/>
        <w:jc w:val="both"/>
        <w:rPr>
          <w:rFonts w:ascii="Arial" w:hAnsi="Arial" w:cs="Arial"/>
          <w:b/>
          <w:bCs/>
          <w:sz w:val="22"/>
          <w:szCs w:val="22"/>
        </w:rPr>
      </w:pPr>
      <w:r>
        <w:rPr>
          <w:rFonts w:ascii="Arial" w:hAnsi="Arial" w:cs="Arial"/>
          <w:b/>
          <w:bCs/>
          <w:sz w:val="22"/>
          <w:szCs w:val="22"/>
        </w:rPr>
        <w:t>Ausgaben – Umlagen belasten den Haushalt weiter</w:t>
      </w:r>
    </w:p>
    <w:p w14:paraId="21CB00C7" w14:textId="01F87A73" w:rsidR="00F63FFE" w:rsidRPr="00A37B6D" w:rsidRDefault="00F63FFE" w:rsidP="00A37B6D">
      <w:pPr>
        <w:keepLines/>
        <w:spacing w:line="360" w:lineRule="auto"/>
        <w:jc w:val="both"/>
        <w:rPr>
          <w:rFonts w:ascii="Arial" w:hAnsi="Arial" w:cs="Arial"/>
          <w:sz w:val="22"/>
          <w:szCs w:val="22"/>
        </w:rPr>
      </w:pPr>
      <w:r w:rsidRPr="00A37B6D">
        <w:rPr>
          <w:rFonts w:ascii="Arial" w:hAnsi="Arial" w:cs="Arial"/>
          <w:sz w:val="22"/>
          <w:szCs w:val="22"/>
        </w:rPr>
        <w:t xml:space="preserve">Die größte Belastung des Haushalts entsteht durch </w:t>
      </w:r>
      <w:r w:rsidR="000D0933" w:rsidRPr="00A37B6D">
        <w:rPr>
          <w:rFonts w:ascii="Arial" w:hAnsi="Arial" w:cs="Arial"/>
          <w:sz w:val="22"/>
          <w:szCs w:val="22"/>
        </w:rPr>
        <w:t xml:space="preserve">Steueraufwendungen </w:t>
      </w:r>
      <w:r w:rsidR="000D0933">
        <w:rPr>
          <w:rFonts w:ascii="Arial" w:hAnsi="Arial" w:cs="Arial"/>
          <w:sz w:val="22"/>
          <w:szCs w:val="22"/>
        </w:rPr>
        <w:t xml:space="preserve">und </w:t>
      </w:r>
      <w:r w:rsidRPr="00A37B6D">
        <w:rPr>
          <w:rFonts w:ascii="Arial" w:hAnsi="Arial" w:cs="Arial"/>
          <w:sz w:val="22"/>
          <w:szCs w:val="22"/>
        </w:rPr>
        <w:t>Umlagen</w:t>
      </w:r>
      <w:r w:rsidR="000D0933">
        <w:rPr>
          <w:rFonts w:ascii="Arial" w:hAnsi="Arial" w:cs="Arial"/>
          <w:sz w:val="22"/>
          <w:szCs w:val="22"/>
        </w:rPr>
        <w:t>, etwa</w:t>
      </w:r>
      <w:r w:rsidR="000D0933" w:rsidRPr="00A37B6D">
        <w:rPr>
          <w:rFonts w:ascii="Arial" w:hAnsi="Arial" w:cs="Arial"/>
          <w:sz w:val="22"/>
          <w:szCs w:val="22"/>
        </w:rPr>
        <w:t xml:space="preserve"> 72 Prozent der ordentlichen Aufwendungen entfallen </w:t>
      </w:r>
      <w:r w:rsidR="000D0933">
        <w:rPr>
          <w:rFonts w:ascii="Arial" w:hAnsi="Arial" w:cs="Arial"/>
          <w:sz w:val="22"/>
          <w:szCs w:val="22"/>
        </w:rPr>
        <w:t>dar</w:t>
      </w:r>
      <w:r w:rsidR="000D0933" w:rsidRPr="00A37B6D">
        <w:rPr>
          <w:rFonts w:ascii="Arial" w:hAnsi="Arial" w:cs="Arial"/>
          <w:sz w:val="22"/>
          <w:szCs w:val="22"/>
        </w:rPr>
        <w:t>auf</w:t>
      </w:r>
      <w:r w:rsidRPr="00A37B6D">
        <w:rPr>
          <w:rFonts w:ascii="Arial" w:hAnsi="Arial" w:cs="Arial"/>
          <w:sz w:val="22"/>
          <w:szCs w:val="22"/>
        </w:rPr>
        <w:t>. Für 2027 beträgt das Gesamtvolumen rund 286 Millionen Euro</w:t>
      </w:r>
      <w:r w:rsidR="000D0933">
        <w:rPr>
          <w:rFonts w:ascii="Arial" w:hAnsi="Arial" w:cs="Arial"/>
          <w:sz w:val="22"/>
          <w:szCs w:val="22"/>
        </w:rPr>
        <w:t xml:space="preserve">, </w:t>
      </w:r>
      <w:r w:rsidR="00A37B6D" w:rsidRPr="00A37B6D">
        <w:rPr>
          <w:rFonts w:ascii="Arial" w:hAnsi="Arial" w:cs="Arial"/>
          <w:sz w:val="22"/>
          <w:szCs w:val="22"/>
        </w:rPr>
        <w:t>darunter die Kreis</w:t>
      </w:r>
      <w:r w:rsidR="00BA084E">
        <w:rPr>
          <w:rFonts w:ascii="Arial" w:hAnsi="Arial" w:cs="Arial"/>
          <w:sz w:val="22"/>
          <w:szCs w:val="22"/>
        </w:rPr>
        <w:t>umlage mit 101,7 Millionen Euro (2026: 82 Mio. Euro)</w:t>
      </w:r>
      <w:r w:rsidR="00A37B6D" w:rsidRPr="00A37B6D">
        <w:rPr>
          <w:rFonts w:ascii="Arial" w:hAnsi="Arial" w:cs="Arial"/>
          <w:sz w:val="22"/>
          <w:szCs w:val="22"/>
        </w:rPr>
        <w:t xml:space="preserve">, </w:t>
      </w:r>
      <w:r w:rsidR="00BA084E">
        <w:rPr>
          <w:rFonts w:ascii="Arial" w:hAnsi="Arial" w:cs="Arial"/>
          <w:sz w:val="22"/>
          <w:szCs w:val="22"/>
        </w:rPr>
        <w:t xml:space="preserve">die </w:t>
      </w:r>
      <w:r w:rsidR="00BA084E" w:rsidRPr="00A37B6D">
        <w:rPr>
          <w:rFonts w:ascii="Arial" w:hAnsi="Arial" w:cs="Arial"/>
          <w:sz w:val="22"/>
          <w:szCs w:val="22"/>
        </w:rPr>
        <w:t>Solidaritätsumlage</w:t>
      </w:r>
      <w:r w:rsidR="00BA084E">
        <w:rPr>
          <w:rFonts w:ascii="Arial" w:hAnsi="Arial" w:cs="Arial"/>
          <w:sz w:val="22"/>
          <w:szCs w:val="22"/>
        </w:rPr>
        <w:t xml:space="preserve"> mit 76,6 Millionen Euro (2026: 57,9 Mio. Euro)</w:t>
      </w:r>
      <w:r w:rsidR="00A37B6D" w:rsidRPr="00A37B6D">
        <w:rPr>
          <w:rFonts w:ascii="Arial" w:hAnsi="Arial" w:cs="Arial"/>
          <w:sz w:val="22"/>
          <w:szCs w:val="22"/>
        </w:rPr>
        <w:t xml:space="preserve"> und </w:t>
      </w:r>
      <w:r w:rsidR="00BA084E">
        <w:rPr>
          <w:rFonts w:ascii="Arial" w:hAnsi="Arial" w:cs="Arial"/>
          <w:sz w:val="22"/>
          <w:szCs w:val="22"/>
        </w:rPr>
        <w:t xml:space="preserve">die </w:t>
      </w:r>
      <w:r w:rsidR="00BA084E" w:rsidRPr="00A37B6D">
        <w:rPr>
          <w:rFonts w:ascii="Arial" w:hAnsi="Arial" w:cs="Arial"/>
          <w:sz w:val="22"/>
          <w:szCs w:val="22"/>
        </w:rPr>
        <w:t>Schul</w:t>
      </w:r>
      <w:r w:rsidR="00BA084E">
        <w:rPr>
          <w:rFonts w:ascii="Arial" w:hAnsi="Arial" w:cs="Arial"/>
          <w:sz w:val="22"/>
          <w:szCs w:val="22"/>
        </w:rPr>
        <w:t>umlage mit 52,9 Millionen Euro (2026: 40 Mio. Euro)</w:t>
      </w:r>
      <w:r w:rsidRPr="00A37B6D">
        <w:rPr>
          <w:rFonts w:ascii="Arial" w:hAnsi="Arial" w:cs="Arial"/>
          <w:sz w:val="22"/>
          <w:szCs w:val="22"/>
        </w:rPr>
        <w:t>.</w:t>
      </w:r>
      <w:r w:rsidR="00BA084E">
        <w:rPr>
          <w:rFonts w:ascii="Arial" w:hAnsi="Arial" w:cs="Arial"/>
          <w:sz w:val="22"/>
          <w:szCs w:val="22"/>
        </w:rPr>
        <w:t xml:space="preserve"> </w:t>
      </w:r>
    </w:p>
    <w:p w14:paraId="51A05506" w14:textId="5230D8EB" w:rsidR="00BA084E" w:rsidRDefault="001D3C8D" w:rsidP="00F63FFE">
      <w:pPr>
        <w:keepLines/>
      </w:pPr>
      <w:r>
        <w:rPr>
          <w:noProof/>
        </w:rPr>
        <w:lastRenderedPageBreak/>
        <w:drawing>
          <wp:inline distT="0" distB="0" distL="0" distR="0" wp14:anchorId="36FE8BAF" wp14:editId="61699C6F">
            <wp:extent cx="5756910" cy="2910205"/>
            <wp:effectExtent l="0" t="0" r="0" b="4445"/>
            <wp:docPr id="11" name="Diagramm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FFDCE4" w14:textId="6F93A7F3" w:rsidR="00F63FFE" w:rsidRPr="009F0FAC" w:rsidRDefault="00BA084E" w:rsidP="009F0FAC">
      <w:pPr>
        <w:keepLines/>
        <w:spacing w:line="360" w:lineRule="auto"/>
        <w:rPr>
          <w:rFonts w:ascii="Arial" w:hAnsi="Arial" w:cs="Arial"/>
          <w:sz w:val="22"/>
          <w:szCs w:val="22"/>
        </w:rPr>
      </w:pPr>
      <w:r w:rsidRPr="009F0FAC">
        <w:rPr>
          <w:rFonts w:ascii="Arial" w:hAnsi="Arial" w:cs="Arial"/>
          <w:sz w:val="22"/>
          <w:szCs w:val="22"/>
        </w:rPr>
        <w:t xml:space="preserve">Zum Vergleich: </w:t>
      </w:r>
      <w:r w:rsidR="00F63FFE" w:rsidRPr="009F0FAC">
        <w:rPr>
          <w:rFonts w:ascii="Arial" w:hAnsi="Arial" w:cs="Arial"/>
          <w:sz w:val="22"/>
          <w:szCs w:val="22"/>
        </w:rPr>
        <w:t xml:space="preserve">Die fünf Hauptumlagen lagen im Jahr </w:t>
      </w:r>
      <w:r w:rsidR="004D67DC" w:rsidRPr="009F0FAC">
        <w:rPr>
          <w:rFonts w:ascii="Arial" w:hAnsi="Arial" w:cs="Arial"/>
          <w:sz w:val="22"/>
          <w:szCs w:val="22"/>
        </w:rPr>
        <w:t>201</w:t>
      </w:r>
      <w:r w:rsidR="004D67DC">
        <w:rPr>
          <w:rFonts w:ascii="Arial" w:hAnsi="Arial" w:cs="Arial"/>
          <w:sz w:val="22"/>
          <w:szCs w:val="22"/>
        </w:rPr>
        <w:t xml:space="preserve">8 </w:t>
      </w:r>
      <w:r w:rsidR="00F63FFE" w:rsidRPr="009F0FAC">
        <w:rPr>
          <w:rFonts w:ascii="Arial" w:hAnsi="Arial" w:cs="Arial"/>
          <w:sz w:val="22"/>
          <w:szCs w:val="22"/>
        </w:rPr>
        <w:t xml:space="preserve">bei rund </w:t>
      </w:r>
      <w:r w:rsidR="004D67DC">
        <w:rPr>
          <w:rFonts w:ascii="Arial" w:hAnsi="Arial" w:cs="Arial"/>
          <w:sz w:val="22"/>
          <w:szCs w:val="22"/>
        </w:rPr>
        <w:t>145</w:t>
      </w:r>
      <w:r w:rsidR="00F63FFE" w:rsidRPr="009F0FAC">
        <w:rPr>
          <w:rFonts w:ascii="Arial" w:hAnsi="Arial" w:cs="Arial"/>
          <w:sz w:val="22"/>
          <w:szCs w:val="22"/>
        </w:rPr>
        <w:t xml:space="preserve"> Millionen Euro. Im Plan 2027 erreichen sie rund 283 Millionen Euro. Innerhalb von </w:t>
      </w:r>
      <w:r w:rsidR="004D67DC">
        <w:rPr>
          <w:rFonts w:ascii="Arial" w:hAnsi="Arial" w:cs="Arial"/>
          <w:sz w:val="22"/>
          <w:szCs w:val="22"/>
        </w:rPr>
        <w:t>neun</w:t>
      </w:r>
      <w:r w:rsidR="004D67DC" w:rsidRPr="009F0FAC">
        <w:rPr>
          <w:rFonts w:ascii="Arial" w:hAnsi="Arial" w:cs="Arial"/>
          <w:sz w:val="22"/>
          <w:szCs w:val="22"/>
        </w:rPr>
        <w:t xml:space="preserve"> </w:t>
      </w:r>
      <w:r w:rsidR="00F63FFE" w:rsidRPr="009F0FAC">
        <w:rPr>
          <w:rFonts w:ascii="Arial" w:hAnsi="Arial" w:cs="Arial"/>
          <w:sz w:val="22"/>
          <w:szCs w:val="22"/>
        </w:rPr>
        <w:t>Jahren hat sich die Belastung damit nahezu verd</w:t>
      </w:r>
      <w:r w:rsidR="004D67DC">
        <w:rPr>
          <w:rFonts w:ascii="Arial" w:hAnsi="Arial" w:cs="Arial"/>
          <w:sz w:val="22"/>
          <w:szCs w:val="22"/>
        </w:rPr>
        <w:t>oppelt</w:t>
      </w:r>
      <w:r w:rsidR="00F63FFE" w:rsidRPr="009F0FAC">
        <w:rPr>
          <w:rFonts w:ascii="Arial" w:hAnsi="Arial" w:cs="Arial"/>
          <w:sz w:val="22"/>
          <w:szCs w:val="22"/>
        </w:rPr>
        <w:t>.</w:t>
      </w:r>
    </w:p>
    <w:p w14:paraId="04D3ABA7" w14:textId="77777777" w:rsidR="009F0FAC" w:rsidRDefault="009F0FAC" w:rsidP="00F63FFE">
      <w:pPr>
        <w:keepLines/>
      </w:pPr>
    </w:p>
    <w:p w14:paraId="3CED9622" w14:textId="755B46B8" w:rsidR="00F63FFE" w:rsidRPr="009F0FAC" w:rsidRDefault="009F0FAC" w:rsidP="009F0FAC">
      <w:pPr>
        <w:keepLines/>
        <w:spacing w:line="360" w:lineRule="auto"/>
        <w:jc w:val="both"/>
        <w:rPr>
          <w:rFonts w:ascii="Arial" w:hAnsi="Arial" w:cs="Arial"/>
          <w:sz w:val="22"/>
          <w:szCs w:val="22"/>
        </w:rPr>
      </w:pPr>
      <w:r w:rsidRPr="009F0FAC">
        <w:rPr>
          <w:rFonts w:ascii="Arial" w:hAnsi="Arial" w:cs="Arial"/>
          <w:sz w:val="22"/>
          <w:szCs w:val="22"/>
        </w:rPr>
        <w:t>D</w:t>
      </w:r>
      <w:r w:rsidR="00F63FFE" w:rsidRPr="009F0FAC">
        <w:rPr>
          <w:rFonts w:ascii="Arial" w:hAnsi="Arial" w:cs="Arial"/>
          <w:sz w:val="22"/>
          <w:szCs w:val="22"/>
        </w:rPr>
        <w:t xml:space="preserve">ie Personalaufwendungen </w:t>
      </w:r>
      <w:r w:rsidRPr="009F0FAC">
        <w:rPr>
          <w:rFonts w:ascii="Arial" w:hAnsi="Arial" w:cs="Arial"/>
          <w:sz w:val="22"/>
          <w:szCs w:val="22"/>
        </w:rPr>
        <w:t xml:space="preserve">betragen </w:t>
      </w:r>
      <w:r w:rsidR="00F63FFE" w:rsidRPr="009F0FAC">
        <w:rPr>
          <w:rFonts w:ascii="Arial" w:hAnsi="Arial" w:cs="Arial"/>
          <w:sz w:val="22"/>
          <w:szCs w:val="22"/>
        </w:rPr>
        <w:t>2027 rund 43,2 Millionen Euro</w:t>
      </w:r>
      <w:r w:rsidR="000D0933">
        <w:rPr>
          <w:rFonts w:ascii="Arial" w:hAnsi="Arial" w:cs="Arial"/>
          <w:sz w:val="22"/>
          <w:szCs w:val="22"/>
        </w:rPr>
        <w:t xml:space="preserve"> (2026: 4</w:t>
      </w:r>
      <w:r w:rsidR="00CF2C64">
        <w:rPr>
          <w:rFonts w:ascii="Arial" w:hAnsi="Arial" w:cs="Arial"/>
          <w:sz w:val="22"/>
          <w:szCs w:val="22"/>
        </w:rPr>
        <w:t>5</w:t>
      </w:r>
      <w:r w:rsidR="000D0933">
        <w:rPr>
          <w:rFonts w:ascii="Arial" w:hAnsi="Arial" w:cs="Arial"/>
          <w:sz w:val="22"/>
          <w:szCs w:val="22"/>
        </w:rPr>
        <w:t>,</w:t>
      </w:r>
      <w:r w:rsidR="00CF2C64">
        <w:rPr>
          <w:rFonts w:ascii="Arial" w:hAnsi="Arial" w:cs="Arial"/>
          <w:sz w:val="22"/>
          <w:szCs w:val="22"/>
        </w:rPr>
        <w:t>1</w:t>
      </w:r>
      <w:r w:rsidR="000D0933">
        <w:rPr>
          <w:rFonts w:ascii="Arial" w:hAnsi="Arial" w:cs="Arial"/>
          <w:sz w:val="22"/>
          <w:szCs w:val="22"/>
        </w:rPr>
        <w:t xml:space="preserve"> Mio. Euro)</w:t>
      </w:r>
      <w:r w:rsidRPr="009F0FAC">
        <w:rPr>
          <w:rFonts w:ascii="Arial" w:hAnsi="Arial" w:cs="Arial"/>
          <w:sz w:val="22"/>
          <w:szCs w:val="22"/>
        </w:rPr>
        <w:t xml:space="preserve">. </w:t>
      </w:r>
      <w:r w:rsidR="00CF2C64">
        <w:rPr>
          <w:rFonts w:ascii="Arial" w:hAnsi="Arial" w:cs="Arial"/>
          <w:sz w:val="22"/>
          <w:szCs w:val="22"/>
        </w:rPr>
        <w:t>D</w:t>
      </w:r>
      <w:r w:rsidR="00CF2C64" w:rsidRPr="009F0FAC">
        <w:rPr>
          <w:rFonts w:ascii="Arial" w:hAnsi="Arial" w:cs="Arial"/>
          <w:sz w:val="22"/>
          <w:szCs w:val="22"/>
        </w:rPr>
        <w:t xml:space="preserve">er Ansatz </w:t>
      </w:r>
      <w:r w:rsidR="00CF2C64">
        <w:rPr>
          <w:rFonts w:ascii="Arial" w:hAnsi="Arial" w:cs="Arial"/>
          <w:sz w:val="22"/>
          <w:szCs w:val="22"/>
        </w:rPr>
        <w:t xml:space="preserve">für </w:t>
      </w:r>
      <w:r w:rsidR="00F63FFE" w:rsidRPr="009F0FAC">
        <w:rPr>
          <w:rFonts w:ascii="Arial" w:hAnsi="Arial" w:cs="Arial"/>
          <w:sz w:val="22"/>
          <w:szCs w:val="22"/>
        </w:rPr>
        <w:t>Sach- und Dienstleistungen liegt bei rund 30,9 Millionen Euro</w:t>
      </w:r>
      <w:r w:rsidR="000D0933">
        <w:rPr>
          <w:rFonts w:ascii="Arial" w:hAnsi="Arial" w:cs="Arial"/>
          <w:sz w:val="22"/>
          <w:szCs w:val="22"/>
        </w:rPr>
        <w:t xml:space="preserve"> (2026: </w:t>
      </w:r>
      <w:r w:rsidR="00CF2C64">
        <w:rPr>
          <w:rFonts w:ascii="Arial" w:hAnsi="Arial" w:cs="Arial"/>
          <w:sz w:val="22"/>
          <w:szCs w:val="22"/>
        </w:rPr>
        <w:t>35,7</w:t>
      </w:r>
      <w:r w:rsidR="000D0933">
        <w:rPr>
          <w:rFonts w:ascii="Arial" w:hAnsi="Arial" w:cs="Arial"/>
          <w:sz w:val="22"/>
          <w:szCs w:val="22"/>
        </w:rPr>
        <w:t xml:space="preserve"> Mio. Euro)</w:t>
      </w:r>
      <w:r w:rsidR="0096207A">
        <w:rPr>
          <w:rFonts w:ascii="Arial" w:hAnsi="Arial" w:cs="Arial"/>
          <w:sz w:val="22"/>
          <w:szCs w:val="22"/>
        </w:rPr>
        <w:t xml:space="preserve">; in diesem Bereich </w:t>
      </w:r>
      <w:r w:rsidR="00B35EC6">
        <w:rPr>
          <w:rFonts w:ascii="Arial" w:hAnsi="Arial" w:cs="Arial"/>
          <w:sz w:val="22"/>
          <w:szCs w:val="22"/>
        </w:rPr>
        <w:t xml:space="preserve">ist </w:t>
      </w:r>
      <w:r w:rsidR="0096207A">
        <w:rPr>
          <w:rFonts w:ascii="Arial" w:hAnsi="Arial" w:cs="Arial"/>
          <w:sz w:val="22"/>
          <w:szCs w:val="22"/>
        </w:rPr>
        <w:t>technisch der pauschale Kürzungsbetrag von 7,74 Mi</w:t>
      </w:r>
      <w:r w:rsidR="00B35EC6">
        <w:rPr>
          <w:rFonts w:ascii="Arial" w:hAnsi="Arial" w:cs="Arial"/>
          <w:sz w:val="22"/>
          <w:szCs w:val="22"/>
        </w:rPr>
        <w:t>lli</w:t>
      </w:r>
      <w:r w:rsidR="0096207A">
        <w:rPr>
          <w:rFonts w:ascii="Arial" w:hAnsi="Arial" w:cs="Arial"/>
          <w:sz w:val="22"/>
          <w:szCs w:val="22"/>
        </w:rPr>
        <w:t>o</w:t>
      </w:r>
      <w:r w:rsidR="00B35EC6">
        <w:rPr>
          <w:rFonts w:ascii="Arial" w:hAnsi="Arial" w:cs="Arial"/>
          <w:sz w:val="22"/>
          <w:szCs w:val="22"/>
        </w:rPr>
        <w:t>nen</w:t>
      </w:r>
      <w:r w:rsidR="0096207A">
        <w:rPr>
          <w:rFonts w:ascii="Arial" w:hAnsi="Arial" w:cs="Arial"/>
          <w:sz w:val="22"/>
          <w:szCs w:val="22"/>
        </w:rPr>
        <w:t xml:space="preserve"> </w:t>
      </w:r>
      <w:r w:rsidR="00B35EC6">
        <w:rPr>
          <w:rFonts w:ascii="Arial" w:hAnsi="Arial" w:cs="Arial"/>
          <w:sz w:val="22"/>
          <w:szCs w:val="22"/>
        </w:rPr>
        <w:t xml:space="preserve">Euro </w:t>
      </w:r>
      <w:r w:rsidR="0096207A">
        <w:rPr>
          <w:rFonts w:ascii="Arial" w:hAnsi="Arial" w:cs="Arial"/>
          <w:sz w:val="22"/>
          <w:szCs w:val="22"/>
        </w:rPr>
        <w:t>als negativer Ansatz verortet</w:t>
      </w:r>
      <w:r w:rsidR="00F63FFE" w:rsidRPr="009F0FAC">
        <w:rPr>
          <w:rFonts w:ascii="Arial" w:hAnsi="Arial" w:cs="Arial"/>
          <w:sz w:val="22"/>
          <w:szCs w:val="22"/>
        </w:rPr>
        <w:t xml:space="preserve">. </w:t>
      </w:r>
    </w:p>
    <w:p w14:paraId="37B14738" w14:textId="77777777" w:rsidR="009F0FAC" w:rsidRDefault="009F0FAC" w:rsidP="00F63FFE">
      <w:pPr>
        <w:keepLines/>
      </w:pPr>
    </w:p>
    <w:p w14:paraId="13FCB6D3" w14:textId="3A5EA853" w:rsidR="009F0FAC" w:rsidRPr="009F0FAC" w:rsidRDefault="009F0FAC" w:rsidP="009F0FAC">
      <w:pPr>
        <w:keepLines/>
        <w:spacing w:line="360" w:lineRule="auto"/>
        <w:jc w:val="both"/>
        <w:rPr>
          <w:rFonts w:ascii="Arial" w:hAnsi="Arial" w:cs="Arial"/>
          <w:b/>
          <w:bCs/>
          <w:sz w:val="22"/>
          <w:szCs w:val="22"/>
        </w:rPr>
      </w:pPr>
      <w:r w:rsidRPr="009F0FAC">
        <w:rPr>
          <w:rFonts w:ascii="Arial" w:hAnsi="Arial" w:cs="Arial"/>
          <w:b/>
          <w:bCs/>
          <w:sz w:val="22"/>
          <w:szCs w:val="22"/>
        </w:rPr>
        <w:t>Investition in Stadtentwicklung und Infrastruktur</w:t>
      </w:r>
    </w:p>
    <w:p w14:paraId="36CAEFBE" w14:textId="1F07E5AF" w:rsidR="00F63FFE" w:rsidRDefault="00597031" w:rsidP="009F0FAC">
      <w:pPr>
        <w:keepLines/>
        <w:spacing w:line="360" w:lineRule="auto"/>
        <w:jc w:val="both"/>
        <w:rPr>
          <w:rFonts w:ascii="Arial" w:hAnsi="Arial" w:cs="Arial"/>
          <w:sz w:val="22"/>
          <w:szCs w:val="22"/>
        </w:rPr>
      </w:pPr>
      <w:r>
        <w:rPr>
          <w:rFonts w:ascii="Arial" w:hAnsi="Arial" w:cs="Arial"/>
          <w:sz w:val="22"/>
          <w:szCs w:val="22"/>
        </w:rPr>
        <w:t xml:space="preserve">Eschborn investiert weiterhin </w:t>
      </w:r>
      <w:r w:rsidR="00B35EC6">
        <w:rPr>
          <w:rFonts w:ascii="Arial" w:hAnsi="Arial" w:cs="Arial"/>
          <w:sz w:val="22"/>
          <w:szCs w:val="22"/>
        </w:rPr>
        <w:t xml:space="preserve">in </w:t>
      </w:r>
      <w:r>
        <w:rPr>
          <w:rFonts w:ascii="Arial" w:hAnsi="Arial" w:cs="Arial"/>
          <w:sz w:val="22"/>
          <w:szCs w:val="22"/>
        </w:rPr>
        <w:t xml:space="preserve">seine Entwicklung und Infrastruktur. </w:t>
      </w:r>
      <w:r w:rsidR="00F63FFE" w:rsidRPr="009F0FAC">
        <w:rPr>
          <w:rFonts w:ascii="Arial" w:hAnsi="Arial" w:cs="Arial"/>
          <w:sz w:val="22"/>
          <w:szCs w:val="22"/>
        </w:rPr>
        <w:t>Der Haushalt 2027 sieht Investitionen von rund 78,</w:t>
      </w:r>
      <w:r w:rsidR="001003FD">
        <w:rPr>
          <w:rFonts w:ascii="Arial" w:hAnsi="Arial" w:cs="Arial"/>
          <w:sz w:val="22"/>
          <w:szCs w:val="22"/>
        </w:rPr>
        <w:t>2</w:t>
      </w:r>
      <w:r w:rsidR="00F63FFE" w:rsidRPr="009F0FAC">
        <w:rPr>
          <w:rFonts w:ascii="Arial" w:hAnsi="Arial" w:cs="Arial"/>
          <w:sz w:val="22"/>
          <w:szCs w:val="22"/>
        </w:rPr>
        <w:t xml:space="preserve"> Millionen Euro vor. Zu den größten Ansätzen gehören 15 Millionen Euro für </w:t>
      </w:r>
      <w:r w:rsidR="009F0FAC" w:rsidRPr="009F0FAC">
        <w:rPr>
          <w:rFonts w:ascii="Arial" w:hAnsi="Arial" w:cs="Arial"/>
          <w:sz w:val="22"/>
          <w:szCs w:val="22"/>
        </w:rPr>
        <w:t xml:space="preserve">die </w:t>
      </w:r>
      <w:r w:rsidR="00F63FFE" w:rsidRPr="009F0FAC">
        <w:rPr>
          <w:rFonts w:ascii="Arial" w:hAnsi="Arial" w:cs="Arial"/>
          <w:sz w:val="22"/>
          <w:szCs w:val="22"/>
        </w:rPr>
        <w:t xml:space="preserve">Erweiterung und </w:t>
      </w:r>
      <w:r w:rsidR="009F0FAC" w:rsidRPr="009F0FAC">
        <w:rPr>
          <w:rFonts w:ascii="Arial" w:hAnsi="Arial" w:cs="Arial"/>
          <w:sz w:val="22"/>
          <w:szCs w:val="22"/>
        </w:rPr>
        <w:t xml:space="preserve">den </w:t>
      </w:r>
      <w:r w:rsidR="00F63FFE" w:rsidRPr="009F0FAC">
        <w:rPr>
          <w:rFonts w:ascii="Arial" w:hAnsi="Arial" w:cs="Arial"/>
          <w:sz w:val="22"/>
          <w:szCs w:val="22"/>
        </w:rPr>
        <w:t>Umbau des Rathauses, 10,8 Millionen Euro für die Kapitalrücklage der GWE und 10 Millionen Euro für den Neubau der Stadthalle.</w:t>
      </w:r>
      <w:r w:rsidR="009F0FAC" w:rsidRPr="009F0FAC">
        <w:rPr>
          <w:rFonts w:ascii="Arial" w:hAnsi="Arial" w:cs="Arial"/>
          <w:sz w:val="22"/>
          <w:szCs w:val="22"/>
        </w:rPr>
        <w:t xml:space="preserve"> </w:t>
      </w:r>
      <w:r w:rsidR="00F63FFE" w:rsidRPr="009F0FAC">
        <w:rPr>
          <w:rFonts w:ascii="Arial" w:hAnsi="Arial" w:cs="Arial"/>
          <w:sz w:val="22"/>
          <w:szCs w:val="22"/>
        </w:rPr>
        <w:t>Für die Planungsgesellschaft der Regionaltangente West sind rund 7,4 Millionen Euro vorgesehen. Weitere 7 Millionen Euro entfallen auf die Heinrich-Graf-Sportanlage. Hinzu kommen Mittel für den Anschluss an die A 66, die Tiefgarage am Rathausplatz, das 50-Meter-Becken und das Straßenbeleuchtungsnetz.</w:t>
      </w:r>
    </w:p>
    <w:p w14:paraId="3D2CAAC1" w14:textId="77777777" w:rsidR="00597031" w:rsidRPr="009F0FAC" w:rsidRDefault="00597031" w:rsidP="009F0FAC">
      <w:pPr>
        <w:keepLines/>
        <w:spacing w:line="360" w:lineRule="auto"/>
        <w:jc w:val="both"/>
        <w:rPr>
          <w:rFonts w:ascii="Arial" w:hAnsi="Arial" w:cs="Arial"/>
          <w:sz w:val="22"/>
          <w:szCs w:val="22"/>
        </w:rPr>
      </w:pPr>
    </w:p>
    <w:p w14:paraId="768483D2" w14:textId="0D034025" w:rsidR="002661CD" w:rsidRDefault="00F63FFE" w:rsidP="009B2375">
      <w:pPr>
        <w:keepLines/>
        <w:spacing w:line="360" w:lineRule="auto"/>
        <w:jc w:val="both"/>
        <w:rPr>
          <w:rFonts w:ascii="Arial" w:hAnsi="Arial" w:cs="Arial"/>
          <w:sz w:val="22"/>
          <w:szCs w:val="22"/>
        </w:rPr>
      </w:pPr>
      <w:r w:rsidRPr="009B2375">
        <w:rPr>
          <w:rFonts w:ascii="Arial" w:hAnsi="Arial" w:cs="Arial"/>
          <w:sz w:val="22"/>
          <w:szCs w:val="22"/>
        </w:rPr>
        <w:t>Die Ergebnisrücklage beträgt zu Beginn des Jahres 2027 rund 652,6 Millionen Euro</w:t>
      </w:r>
      <w:r w:rsidR="001727AB" w:rsidRPr="009B2375">
        <w:rPr>
          <w:rFonts w:ascii="Arial" w:hAnsi="Arial" w:cs="Arial"/>
          <w:sz w:val="22"/>
          <w:szCs w:val="22"/>
        </w:rPr>
        <w:t>. Z</w:t>
      </w:r>
      <w:r w:rsidRPr="009B2375">
        <w:rPr>
          <w:rFonts w:ascii="Arial" w:hAnsi="Arial" w:cs="Arial"/>
          <w:sz w:val="22"/>
          <w:szCs w:val="22"/>
        </w:rPr>
        <w:t xml:space="preserve">um Jahresende </w:t>
      </w:r>
      <w:r w:rsidR="001727AB" w:rsidRPr="009B2375">
        <w:rPr>
          <w:rFonts w:ascii="Arial" w:hAnsi="Arial" w:cs="Arial"/>
          <w:sz w:val="22"/>
          <w:szCs w:val="22"/>
        </w:rPr>
        <w:t xml:space="preserve">verbleiben </w:t>
      </w:r>
      <w:r w:rsidRPr="009B2375">
        <w:rPr>
          <w:rFonts w:ascii="Arial" w:hAnsi="Arial" w:cs="Arial"/>
          <w:sz w:val="22"/>
          <w:szCs w:val="22"/>
        </w:rPr>
        <w:t xml:space="preserve">voraussichtlich rund 644,8 Millionen Euro. </w:t>
      </w:r>
      <w:r w:rsidR="009B2375" w:rsidRPr="009B2375">
        <w:rPr>
          <w:rFonts w:ascii="Arial" w:hAnsi="Arial" w:cs="Arial"/>
          <w:sz w:val="22"/>
          <w:szCs w:val="22"/>
        </w:rPr>
        <w:t>Investitions- oder Liquiditätskredite plant die Stadt nicht</w:t>
      </w:r>
      <w:r w:rsidR="002661CD">
        <w:rPr>
          <w:rFonts w:ascii="Arial" w:hAnsi="Arial" w:cs="Arial"/>
          <w:sz w:val="22"/>
          <w:szCs w:val="22"/>
        </w:rPr>
        <w:t xml:space="preserve">, sie </w:t>
      </w:r>
      <w:r w:rsidR="009B2375" w:rsidRPr="009B2375">
        <w:rPr>
          <w:rFonts w:ascii="Arial" w:hAnsi="Arial" w:cs="Arial"/>
          <w:sz w:val="22"/>
          <w:szCs w:val="22"/>
        </w:rPr>
        <w:t xml:space="preserve">finanziert </w:t>
      </w:r>
      <w:r w:rsidR="002661CD">
        <w:rPr>
          <w:rFonts w:ascii="Arial" w:hAnsi="Arial" w:cs="Arial"/>
          <w:sz w:val="22"/>
          <w:szCs w:val="22"/>
        </w:rPr>
        <w:t xml:space="preserve">ihre </w:t>
      </w:r>
      <w:r w:rsidR="009B2375" w:rsidRPr="009B2375">
        <w:rPr>
          <w:rFonts w:ascii="Arial" w:hAnsi="Arial" w:cs="Arial"/>
          <w:sz w:val="22"/>
          <w:szCs w:val="22"/>
        </w:rPr>
        <w:t>Aufgaben weiterhin aus eigener Kraft.</w:t>
      </w:r>
    </w:p>
    <w:p w14:paraId="1CF44E42" w14:textId="5430FDC6" w:rsidR="00F63FFE" w:rsidRPr="009B2375" w:rsidRDefault="002661CD" w:rsidP="009B2375">
      <w:pPr>
        <w:keepLines/>
        <w:spacing w:line="360" w:lineRule="auto"/>
        <w:jc w:val="both"/>
        <w:rPr>
          <w:rFonts w:ascii="Arial" w:hAnsi="Arial" w:cs="Arial"/>
          <w:sz w:val="22"/>
          <w:szCs w:val="22"/>
        </w:rPr>
      </w:pPr>
      <w:r>
        <w:rPr>
          <w:rFonts w:ascii="Arial" w:hAnsi="Arial" w:cs="Arial"/>
          <w:sz w:val="22"/>
          <w:szCs w:val="22"/>
        </w:rPr>
        <w:lastRenderedPageBreak/>
        <w:t>„</w:t>
      </w:r>
      <w:r w:rsidR="00F63FFE" w:rsidRPr="009B2375">
        <w:rPr>
          <w:rFonts w:ascii="Arial" w:hAnsi="Arial" w:cs="Arial"/>
          <w:sz w:val="22"/>
          <w:szCs w:val="22"/>
        </w:rPr>
        <w:t>Die Rücklagen schmelzen durch diesen Haushalt nicht in einer Größenordnung ab, die unsere finanzielle Handlungsfähigkeit infrage stellt. Sie bleiben ein außerordentlich stabiles Fundament.</w:t>
      </w:r>
      <w:r w:rsidR="001727AB" w:rsidRPr="009B2375">
        <w:rPr>
          <w:rFonts w:ascii="Arial" w:hAnsi="Arial" w:cs="Arial"/>
          <w:sz w:val="22"/>
          <w:szCs w:val="22"/>
        </w:rPr>
        <w:t xml:space="preserve"> </w:t>
      </w:r>
      <w:r w:rsidR="00F63FFE" w:rsidRPr="009B2375">
        <w:rPr>
          <w:rFonts w:ascii="Arial" w:hAnsi="Arial" w:cs="Arial"/>
          <w:sz w:val="22"/>
          <w:szCs w:val="22"/>
        </w:rPr>
        <w:t>Rücklage und Liquidität müssen jedoch getrennt betrachtet werden. Der Bestand an liquiden Mitteln sinkt nach der Planung von rund 239,3 Millionen Euro auf rund 163,1 Millionen Euro. Dieser Rückgang hängt vor allem mit den hohen Umlagen und dem umfangreichen Investitionsprogramm zusammen</w:t>
      </w:r>
      <w:r w:rsidR="001727AB" w:rsidRPr="009B2375">
        <w:rPr>
          <w:rFonts w:ascii="Arial" w:hAnsi="Arial" w:cs="Arial"/>
          <w:sz w:val="22"/>
          <w:szCs w:val="22"/>
        </w:rPr>
        <w:t>“, erklärte Bürgermeister Adnan Shaikh in seiner Rede.</w:t>
      </w:r>
      <w:r w:rsidR="009B2375" w:rsidRPr="009B2375">
        <w:rPr>
          <w:rFonts w:ascii="Arial" w:hAnsi="Arial" w:cs="Arial"/>
          <w:sz w:val="22"/>
          <w:szCs w:val="22"/>
        </w:rPr>
        <w:t xml:space="preserve"> „</w:t>
      </w:r>
      <w:r w:rsidR="00F63FFE" w:rsidRPr="009B2375">
        <w:rPr>
          <w:rFonts w:ascii="Arial" w:hAnsi="Arial" w:cs="Arial"/>
          <w:sz w:val="22"/>
          <w:szCs w:val="22"/>
        </w:rPr>
        <w:t>Finanzielle Stärke entfaltet ihren Nutzen erst, wenn daraus funktionierende Infrastruktur und gute Leistungen für die Menschen in Eschborn entstehen.</w:t>
      </w:r>
      <w:r w:rsidR="009B2375" w:rsidRPr="009B2375">
        <w:rPr>
          <w:rFonts w:ascii="Arial" w:hAnsi="Arial" w:cs="Arial"/>
          <w:sz w:val="22"/>
          <w:szCs w:val="22"/>
        </w:rPr>
        <w:t>“</w:t>
      </w:r>
    </w:p>
    <w:p w14:paraId="4D59555D" w14:textId="77777777" w:rsidR="009B2375" w:rsidRDefault="009B2375" w:rsidP="00F63FFE">
      <w:pPr>
        <w:keepLines/>
      </w:pPr>
    </w:p>
    <w:p w14:paraId="5BAFDA52" w14:textId="50599660" w:rsidR="009B2375" w:rsidRDefault="009B2375" w:rsidP="009B2375">
      <w:pPr>
        <w:spacing w:line="360" w:lineRule="auto"/>
        <w:rPr>
          <w:rFonts w:ascii="Arial" w:hAnsi="Arial" w:cs="Arial"/>
          <w:sz w:val="22"/>
          <w:szCs w:val="22"/>
        </w:rPr>
      </w:pPr>
      <w:r>
        <w:rPr>
          <w:rFonts w:ascii="Arial" w:hAnsi="Arial" w:cs="Arial"/>
          <w:sz w:val="22"/>
          <w:szCs w:val="22"/>
        </w:rPr>
        <w:t>Der Haushalt soll in der Sitzung am 19. November 2026 beraten und beschlossen werden.</w:t>
      </w:r>
    </w:p>
    <w:p w14:paraId="6A15E377" w14:textId="77777777" w:rsidR="000F289D" w:rsidRDefault="000F289D">
      <w:pPr>
        <w:spacing w:line="360" w:lineRule="auto"/>
        <w:ind w:right="23"/>
        <w:rPr>
          <w:rFonts w:ascii="Arial" w:hAnsi="Arial"/>
          <w:sz w:val="22"/>
          <w:szCs w:val="28"/>
        </w:rPr>
      </w:pPr>
    </w:p>
    <w:p w14:paraId="4520B8E4" w14:textId="77777777" w:rsidR="00F4643C" w:rsidRDefault="00F4643C">
      <w:pPr>
        <w:spacing w:line="360" w:lineRule="auto"/>
        <w:ind w:right="23"/>
        <w:rPr>
          <w:rFonts w:ascii="Arial" w:hAnsi="Arial"/>
          <w:sz w:val="22"/>
          <w:szCs w:val="28"/>
        </w:rPr>
      </w:pPr>
    </w:p>
    <w:p w14:paraId="64C4410B" w14:textId="77777777" w:rsidR="000F289D" w:rsidRDefault="004564A3">
      <w:pPr>
        <w:ind w:right="23"/>
        <w:rPr>
          <w:rFonts w:ascii="Arial" w:hAnsi="Arial" w:cs="Arial"/>
          <w:sz w:val="22"/>
        </w:rPr>
      </w:pPr>
      <w:r>
        <w:rPr>
          <w:rFonts w:ascii="Arial" w:hAnsi="Arial" w:cs="Arial"/>
          <w:sz w:val="22"/>
        </w:rPr>
        <w:t>Kontakt:</w:t>
      </w:r>
    </w:p>
    <w:p w14:paraId="580023A7" w14:textId="77777777" w:rsidR="000F289D" w:rsidRDefault="004564A3">
      <w:pPr>
        <w:ind w:right="23"/>
        <w:rPr>
          <w:rFonts w:ascii="Arial" w:hAnsi="Arial" w:cs="Arial"/>
          <w:sz w:val="22"/>
        </w:rPr>
      </w:pPr>
      <w:r>
        <w:rPr>
          <w:rFonts w:ascii="Arial" w:hAnsi="Arial" w:cs="Arial"/>
          <w:sz w:val="22"/>
        </w:rPr>
        <w:t>Stadtverwaltung Eschborn</w:t>
      </w:r>
    </w:p>
    <w:p w14:paraId="1864A3A6" w14:textId="77777777" w:rsidR="000F289D" w:rsidRDefault="004564A3">
      <w:pPr>
        <w:ind w:right="23"/>
        <w:jc w:val="both"/>
        <w:rPr>
          <w:rFonts w:ascii="Arial" w:hAnsi="Arial" w:cs="Arial"/>
          <w:sz w:val="22"/>
        </w:rPr>
      </w:pPr>
      <w:r>
        <w:rPr>
          <w:rFonts w:ascii="Arial" w:hAnsi="Arial" w:cs="Arial"/>
          <w:sz w:val="22"/>
        </w:rPr>
        <w:t>Pressestelle</w:t>
      </w:r>
    </w:p>
    <w:p w14:paraId="67E6D2F2" w14:textId="77777777" w:rsidR="000F289D" w:rsidRDefault="004564A3">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377E3C" w14:textId="77777777" w:rsidR="000F289D" w:rsidRDefault="008440D1">
      <w:pPr>
        <w:jc w:val="both"/>
        <w:rPr>
          <w:rFonts w:ascii="Arial" w:hAnsi="Arial"/>
          <w:color w:val="000000"/>
          <w:sz w:val="22"/>
          <w:lang w:val="en-US"/>
        </w:rPr>
      </w:pPr>
      <w:hyperlink r:id="rId15" w:history="1">
        <w:r w:rsidR="004564A3">
          <w:rPr>
            <w:rStyle w:val="Hyperlink"/>
            <w:rFonts w:ascii="Arial" w:hAnsi="Arial"/>
            <w:color w:val="000000"/>
            <w:sz w:val="22"/>
            <w:u w:val="none"/>
            <w:lang w:val="en-US"/>
          </w:rPr>
          <w:t>presse@eschborn.de</w:t>
        </w:r>
      </w:hyperlink>
    </w:p>
    <w:p w14:paraId="74F281FC" w14:textId="77777777" w:rsidR="000F289D" w:rsidRDefault="004564A3">
      <w:pPr>
        <w:jc w:val="both"/>
        <w:rPr>
          <w:rFonts w:ascii="Arial" w:hAnsi="Arial"/>
          <w:sz w:val="22"/>
          <w:lang w:val="en-US"/>
        </w:rPr>
      </w:pPr>
      <w:r>
        <w:rPr>
          <w:rFonts w:ascii="Arial" w:hAnsi="Arial"/>
          <w:sz w:val="22"/>
          <w:lang w:val="en-US"/>
        </w:rPr>
        <w:t>www.eschborn.de</w:t>
      </w:r>
    </w:p>
    <w:sectPr w:rsidR="000F289D" w:rsidSect="002661CD">
      <w:headerReference w:type="even" r:id="rId16"/>
      <w:headerReference w:type="default" r:id="rId17"/>
      <w:footerReference w:type="even" r:id="rId18"/>
      <w:pgSz w:w="11900" w:h="16840"/>
      <w:pgMar w:top="1417" w:right="1417" w:bottom="1134" w:left="1417" w:header="567" w:footer="113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03699" w14:textId="77777777" w:rsidR="00812060" w:rsidRDefault="00812060">
      <w:r>
        <w:separator/>
      </w:r>
    </w:p>
  </w:endnote>
  <w:endnote w:type="continuationSeparator" w:id="0">
    <w:p w14:paraId="5B9E7197" w14:textId="77777777" w:rsidR="00812060" w:rsidRDefault="0081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D270" w14:textId="77777777" w:rsidR="000F289D" w:rsidRDefault="004564A3">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7E70F4B" w14:textId="77777777" w:rsidR="000F289D" w:rsidRDefault="000F289D">
    <w:pPr>
      <w:pStyle w:val="Fuzeil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AC582" w14:textId="77777777" w:rsidR="00812060" w:rsidRDefault="00812060">
      <w:r>
        <w:separator/>
      </w:r>
    </w:p>
  </w:footnote>
  <w:footnote w:type="continuationSeparator" w:id="0">
    <w:p w14:paraId="0E9408E0" w14:textId="77777777" w:rsidR="00812060" w:rsidRDefault="00812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6EEF" w14:textId="77777777" w:rsidR="000F289D" w:rsidRDefault="004564A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206B4E5" w14:textId="77777777" w:rsidR="000F289D" w:rsidRDefault="000F289D">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C2B3" w14:textId="77777777" w:rsidR="000F289D" w:rsidRDefault="004564A3">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7AB42F8E" w14:textId="77777777" w:rsidR="000F289D" w:rsidRDefault="000F289D">
    <w:pPr>
      <w:pStyle w:val="Kopfzeile"/>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B55EC"/>
    <w:multiLevelType w:val="hybridMultilevel"/>
    <w:tmpl w:val="0EFE90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6026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9D"/>
    <w:rsid w:val="00022637"/>
    <w:rsid w:val="00080904"/>
    <w:rsid w:val="000D0933"/>
    <w:rsid w:val="000E4232"/>
    <w:rsid w:val="000F289D"/>
    <w:rsid w:val="001003FD"/>
    <w:rsid w:val="00107EE7"/>
    <w:rsid w:val="00117452"/>
    <w:rsid w:val="0015789E"/>
    <w:rsid w:val="001727AB"/>
    <w:rsid w:val="001D3C8D"/>
    <w:rsid w:val="001F48BF"/>
    <w:rsid w:val="002661CD"/>
    <w:rsid w:val="00300747"/>
    <w:rsid w:val="0039278D"/>
    <w:rsid w:val="004564A3"/>
    <w:rsid w:val="004B4081"/>
    <w:rsid w:val="004D67DC"/>
    <w:rsid w:val="00597031"/>
    <w:rsid w:val="00610A9C"/>
    <w:rsid w:val="006A6C2C"/>
    <w:rsid w:val="006E34F5"/>
    <w:rsid w:val="00705042"/>
    <w:rsid w:val="00812060"/>
    <w:rsid w:val="008440D1"/>
    <w:rsid w:val="00854648"/>
    <w:rsid w:val="008B65A6"/>
    <w:rsid w:val="008D1432"/>
    <w:rsid w:val="0096207A"/>
    <w:rsid w:val="009B2375"/>
    <w:rsid w:val="009E5507"/>
    <w:rsid w:val="009F0FAC"/>
    <w:rsid w:val="009F2068"/>
    <w:rsid w:val="00A37B6D"/>
    <w:rsid w:val="00AB5395"/>
    <w:rsid w:val="00B35EC6"/>
    <w:rsid w:val="00BA084E"/>
    <w:rsid w:val="00BD785F"/>
    <w:rsid w:val="00C224E0"/>
    <w:rsid w:val="00C8000F"/>
    <w:rsid w:val="00CA445F"/>
    <w:rsid w:val="00CD5B9D"/>
    <w:rsid w:val="00CF2C64"/>
    <w:rsid w:val="00D33768"/>
    <w:rsid w:val="00EB6466"/>
    <w:rsid w:val="00F26D5A"/>
    <w:rsid w:val="00F4643C"/>
    <w:rsid w:val="00F63FFE"/>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49543C"/>
  <w15:docId w15:val="{8AC56206-012B-4796-B810-934A64225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paragraph" w:styleId="Listenabsatz">
    <w:name w:val="List Paragraph"/>
    <w:basedOn w:val="Standard"/>
    <w:qFormat/>
    <w:rsid w:val="006A6C2C"/>
    <w:pPr>
      <w:ind w:left="720"/>
      <w:contextualSpacing/>
    </w:pPr>
  </w:style>
  <w:style w:type="paragraph" w:styleId="berarbeitung">
    <w:name w:val="Revision"/>
    <w:hidden/>
    <w:semiHidden/>
    <w:rsid w:val="0096207A"/>
    <w:rPr>
      <w:sz w:val="24"/>
      <w:szCs w:val="24"/>
      <w:lang w:eastAsia="en-US"/>
    </w:rPr>
  </w:style>
  <w:style w:type="character" w:styleId="Kommentarzeichen">
    <w:name w:val="annotation reference"/>
    <w:basedOn w:val="Absatz-Standardschriftart"/>
    <w:semiHidden/>
    <w:unhideWhenUsed/>
    <w:rsid w:val="00854648"/>
    <w:rPr>
      <w:sz w:val="16"/>
      <w:szCs w:val="16"/>
    </w:rPr>
  </w:style>
  <w:style w:type="paragraph" w:styleId="Kommentartext">
    <w:name w:val="annotation text"/>
    <w:basedOn w:val="Standard"/>
    <w:link w:val="KommentartextZchn"/>
    <w:semiHidden/>
    <w:unhideWhenUsed/>
    <w:rsid w:val="00854648"/>
    <w:rPr>
      <w:sz w:val="20"/>
      <w:szCs w:val="20"/>
    </w:rPr>
  </w:style>
  <w:style w:type="character" w:customStyle="1" w:styleId="KommentartextZchn">
    <w:name w:val="Kommentartext Zchn"/>
    <w:basedOn w:val="Absatz-Standardschriftart"/>
    <w:link w:val="Kommentartext"/>
    <w:semiHidden/>
    <w:rsid w:val="00854648"/>
    <w:rPr>
      <w:lang w:eastAsia="en-US"/>
    </w:rPr>
  </w:style>
  <w:style w:type="paragraph" w:styleId="Kommentarthema">
    <w:name w:val="annotation subject"/>
    <w:basedOn w:val="Kommentartext"/>
    <w:next w:val="Kommentartext"/>
    <w:link w:val="KommentarthemaZchn"/>
    <w:semiHidden/>
    <w:unhideWhenUsed/>
    <w:rsid w:val="00854648"/>
    <w:rPr>
      <w:b/>
      <w:bCs/>
    </w:rPr>
  </w:style>
  <w:style w:type="character" w:customStyle="1" w:styleId="KommentarthemaZchn">
    <w:name w:val="Kommentarthema Zchn"/>
    <w:basedOn w:val="KommentartextZchn"/>
    <w:link w:val="Kommentarthema"/>
    <w:semiHidden/>
    <w:rsid w:val="0085464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52262636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mailto:presse@eschborn.de" TargetMode="Externa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de-DE"/>
              <a:t>Gewerbesteuerentwicklung</a:t>
            </a:r>
          </a:p>
        </c:rich>
      </c:tx>
      <c:overlay val="0"/>
    </c:title>
    <c:autoTitleDeleted val="0"/>
    <c:plotArea>
      <c:layout/>
      <c:lineChart>
        <c:grouping val="standard"/>
        <c:varyColors val="1"/>
        <c:ser>
          <c:idx val="0"/>
          <c:order val="0"/>
          <c:tx>
            <c:v>Gewerbesteuer</c:v>
          </c:tx>
          <c:spPr>
            <a:ln w="38100">
              <a:solidFill>
                <a:srgbClr val="ED7D31"/>
              </a:solidFill>
              <a:prstDash val="solid"/>
            </a:ln>
          </c:spPr>
          <c:marker>
            <c:symbol val="circle"/>
            <c:size val="7"/>
            <c:spPr>
              <a:solidFill>
                <a:srgbClr val="ED7D31"/>
              </a:solidFill>
            </c:spPr>
          </c:marker>
          <c:dLbls>
            <c:spPr>
              <a:noFill/>
              <a:ln>
                <a:noFill/>
              </a:ln>
            </c:spPr>
            <c:txPr>
              <a:bodyPr anchorCtr="1"/>
              <a:lstStyle/>
              <a:p>
                <a:pPr>
                  <a:defRPr sz="788">
                    <a:solidFill>
                      <a:srgbClr val="B45309"/>
                    </a:solidFill>
                    <a:latin typeface="Calibri"/>
                    <a:ea typeface="Calibri"/>
                    <a:cs typeface="Calibri"/>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2"/>
              <c:pt idx="0">
                <c:v>2016</c:v>
              </c:pt>
              <c:pt idx="1">
                <c:v>2017</c:v>
              </c:pt>
              <c:pt idx="2">
                <c:v>2018</c:v>
              </c:pt>
              <c:pt idx="3">
                <c:v>2019</c:v>
              </c:pt>
              <c:pt idx="4">
                <c:v>2020</c:v>
              </c:pt>
              <c:pt idx="5">
                <c:v>2021</c:v>
              </c:pt>
              <c:pt idx="6">
                <c:v>2022</c:v>
              </c:pt>
              <c:pt idx="7">
                <c:v>2023</c:v>
              </c:pt>
              <c:pt idx="8">
                <c:v>2024</c:v>
              </c:pt>
              <c:pt idx="9">
                <c:v>2025</c:v>
              </c:pt>
              <c:pt idx="10">
                <c:v>P 2026</c:v>
              </c:pt>
              <c:pt idx="11">
                <c:v>P 2027</c:v>
              </c:pt>
            </c:strLit>
          </c:cat>
          <c:val>
            <c:numLit>
              <c:formatCode>0.0</c:formatCode>
              <c:ptCount val="12"/>
              <c:pt idx="0">
                <c:v>160.78</c:v>
              </c:pt>
              <c:pt idx="1">
                <c:v>169.75399999999999</c:v>
              </c:pt>
              <c:pt idx="2">
                <c:v>167.083</c:v>
              </c:pt>
              <c:pt idx="3">
                <c:v>174.232</c:v>
              </c:pt>
              <c:pt idx="4">
                <c:v>237.87899999999999</c:v>
              </c:pt>
              <c:pt idx="5">
                <c:v>205.64099999999999</c:v>
              </c:pt>
              <c:pt idx="6">
                <c:v>203.30600000000001</c:v>
              </c:pt>
              <c:pt idx="7">
                <c:v>250.45400000000001</c:v>
              </c:pt>
              <c:pt idx="8">
                <c:v>242.398</c:v>
              </c:pt>
              <c:pt idx="9">
                <c:v>251.821</c:v>
              </c:pt>
              <c:pt idx="10">
                <c:v>262</c:v>
              </c:pt>
              <c:pt idx="11">
                <c:v>300</c:v>
              </c:pt>
            </c:numLit>
          </c:val>
          <c:smooth val="1"/>
          <c:extLst>
            <c:ext xmlns:c16="http://schemas.microsoft.com/office/drawing/2014/chart" uri="{C3380CC4-5D6E-409C-BE32-E72D297353CC}">
              <c16:uniqueId val="{00000000-6FE9-49C3-ADD4-8868BCA61DA2}"/>
            </c:ext>
          </c:extLst>
        </c:ser>
        <c:dLbls>
          <c:showLegendKey val="0"/>
          <c:showVal val="1"/>
          <c:showCatName val="0"/>
          <c:showSerName val="0"/>
          <c:showPercent val="0"/>
          <c:showBubbleSize val="0"/>
        </c:dLbls>
        <c:marker val="1"/>
        <c:smooth val="0"/>
        <c:axId val="48650112"/>
        <c:axId val="48672768"/>
      </c:lineChart>
      <c:catAx>
        <c:axId val="48650112"/>
        <c:scaling>
          <c:orientation val="minMax"/>
        </c:scaling>
        <c:delete val="0"/>
        <c:axPos val="b"/>
        <c:numFmt formatCode="General" sourceLinked="1"/>
        <c:majorTickMark val="none"/>
        <c:minorTickMark val="none"/>
        <c:tickLblPos val="nextTo"/>
        <c:spPr>
          <a:ln w="9525">
            <a:solidFill>
              <a:srgbClr val="9CA3AF"/>
            </a:solidFill>
            <a:prstDash val="solid"/>
          </a:ln>
        </c:spPr>
        <c:txPr>
          <a:bodyPr anchorCtr="1"/>
          <a:lstStyle/>
          <a:p>
            <a:pPr>
              <a:defRPr sz="975">
                <a:solidFill>
                  <a:srgbClr val="1F2937"/>
                </a:solidFill>
                <a:latin typeface="Calibri"/>
                <a:ea typeface="Calibri"/>
                <a:cs typeface="Calibri"/>
              </a:defRPr>
            </a:pPr>
            <a:endParaRPr lang="de-DE"/>
          </a:p>
        </c:txPr>
        <c:crossAx val="48672768"/>
        <c:crosses val="autoZero"/>
        <c:auto val="1"/>
        <c:lblAlgn val="ctr"/>
        <c:lblOffset val="100"/>
        <c:noMultiLvlLbl val="1"/>
      </c:catAx>
      <c:valAx>
        <c:axId val="48672768"/>
        <c:scaling>
          <c:orientation val="minMax"/>
          <c:max val="320"/>
          <c:min val="140"/>
        </c:scaling>
        <c:delete val="0"/>
        <c:axPos val="l"/>
        <c:majorGridlines>
          <c:spPr>
            <a:ln w="9525">
              <a:solidFill>
                <a:srgbClr val="D9E2E8"/>
              </a:solidFill>
              <a:prstDash val="solid"/>
            </a:ln>
          </c:spPr>
        </c:majorGridlines>
        <c:title>
          <c:tx>
            <c:rich>
              <a:bodyPr/>
              <a:lstStyle/>
              <a:p>
                <a:r>
                  <a:rPr lang="de-DE">
                    <a:latin typeface="Calibri"/>
                    <a:ea typeface="Calibri"/>
                    <a:cs typeface="Calibri"/>
                  </a:rPr>
                  <a:t>Mio. €</a:t>
                </a:r>
              </a:p>
            </c:rich>
          </c:tx>
          <c:overlay val="0"/>
        </c:title>
        <c:numFmt formatCode="0.0" sourceLinked="1"/>
        <c:majorTickMark val="none"/>
        <c:minorTickMark val="none"/>
        <c:tickLblPos val="nextTo"/>
        <c:spPr>
          <a:ln w="9525">
            <a:solidFill>
              <a:srgbClr val="D4D4D4"/>
            </a:solidFill>
            <a:prstDash val="solid"/>
          </a:ln>
        </c:spPr>
        <c:txPr>
          <a:bodyPr anchorCtr="1"/>
          <a:lstStyle/>
          <a:p>
            <a:pPr>
              <a:defRPr sz="975">
                <a:solidFill>
                  <a:srgbClr val="1F2937"/>
                </a:solidFill>
                <a:latin typeface="Calibri"/>
                <a:ea typeface="Calibri"/>
                <a:cs typeface="Calibri"/>
              </a:defRPr>
            </a:pPr>
            <a:endParaRPr lang="de-DE"/>
          </a:p>
        </c:txPr>
        <c:crossAx val="48650112"/>
        <c:crosses val="autoZero"/>
        <c:crossBetween val="between"/>
        <c:majorUnit val="40"/>
      </c:valAx>
      <c:spPr>
        <a:ln>
          <a:noFill/>
        </a:ln>
      </c:spPr>
    </c:plotArea>
    <c:plotVisOnly val="1"/>
    <c:dispBlanksAs val="zero"/>
    <c:showDLblsOverMax val="1"/>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r>
              <a:rPr lang="de-DE" sz="1500" b="1">
                <a:solidFill>
                  <a:srgbClr val="1F2937"/>
                </a:solidFill>
                <a:latin typeface="Calibri"/>
                <a:ea typeface="Calibri"/>
                <a:cs typeface="Calibri"/>
              </a:rPr>
              <a:t>Plan 2027: 347,8 Mio. €</a:t>
            </a:r>
          </a:p>
        </c:rich>
      </c:tx>
      <c:overlay val="0"/>
    </c:title>
    <c:autoTitleDeleted val="0"/>
    <c:plotArea>
      <c:layout/>
      <c:doughnutChart>
        <c:varyColors val="1"/>
        <c:ser>
          <c:idx val="0"/>
          <c:order val="0"/>
          <c:tx>
            <c:v>Plan 2027: 347,8 Mio. €</c:v>
          </c:tx>
          <c:dPt>
            <c:idx val="0"/>
            <c:bubble3D val="0"/>
            <c:spPr>
              <a:solidFill>
                <a:srgbClr val="10A9CF"/>
              </a:solidFill>
            </c:spPr>
            <c:extLst>
              <c:ext xmlns:c16="http://schemas.microsoft.com/office/drawing/2014/chart" uri="{C3380CC4-5D6E-409C-BE32-E72D297353CC}">
                <c16:uniqueId val="{00000001-1613-41CE-AC13-99BCF085FBDA}"/>
              </c:ext>
            </c:extLst>
          </c:dPt>
          <c:dPt>
            <c:idx val="1"/>
            <c:bubble3D val="0"/>
            <c:spPr>
              <a:solidFill>
                <a:srgbClr val="FFC000"/>
              </a:solidFill>
            </c:spPr>
            <c:extLst>
              <c:ext xmlns:c16="http://schemas.microsoft.com/office/drawing/2014/chart" uri="{C3380CC4-5D6E-409C-BE32-E72D297353CC}">
                <c16:uniqueId val="{00000003-1613-41CE-AC13-99BCF085FBDA}"/>
              </c:ext>
            </c:extLst>
          </c:dPt>
          <c:dPt>
            <c:idx val="2"/>
            <c:bubble3D val="0"/>
            <c:spPr>
              <a:solidFill>
                <a:srgbClr val="ED7D31"/>
              </a:solidFill>
            </c:spPr>
            <c:extLst>
              <c:ext xmlns:c16="http://schemas.microsoft.com/office/drawing/2014/chart" uri="{C3380CC4-5D6E-409C-BE32-E72D297353CC}">
                <c16:uniqueId val="{00000005-1613-41CE-AC13-99BCF085FBDA}"/>
              </c:ext>
            </c:extLst>
          </c:dPt>
          <c:dPt>
            <c:idx val="3"/>
            <c:bubble3D val="0"/>
            <c:spPr>
              <a:solidFill>
                <a:srgbClr val="70AD47"/>
              </a:solidFill>
            </c:spPr>
            <c:extLst>
              <c:ext xmlns:c16="http://schemas.microsoft.com/office/drawing/2014/chart" uri="{C3380CC4-5D6E-409C-BE32-E72D297353CC}">
                <c16:uniqueId val="{00000007-1613-41CE-AC13-99BCF085FBDA}"/>
              </c:ext>
            </c:extLst>
          </c:dPt>
          <c:dLbls>
            <c:spPr>
              <a:noFill/>
              <a:ln>
                <a:noFill/>
              </a:ln>
            </c:spPr>
            <c:txPr>
              <a:bodyPr anchorCtr="1"/>
              <a:lstStyle/>
              <a:p>
                <a:pPr>
                  <a:defRPr sz="863" b="1">
                    <a:solidFill>
                      <a:srgbClr val="1F2937"/>
                    </a:solidFill>
                    <a:latin typeface="Calibri"/>
                    <a:ea typeface="Calibri"/>
                    <a:cs typeface="Calibri"/>
                  </a:defRPr>
                </a:pPr>
                <a:endParaRPr lang="de-DE"/>
              </a:p>
            </c:txPr>
            <c:showLegendKey val="0"/>
            <c:showVal val="0"/>
            <c:showCatName val="0"/>
            <c:showSerName val="0"/>
            <c:showPercent val="1"/>
            <c:showBubbleSize val="0"/>
            <c:showLeaderLines val="0"/>
            <c:extLst>
              <c:ext xmlns:c15="http://schemas.microsoft.com/office/drawing/2012/chart" uri="{CE6537A1-D6FC-4f65-9D91-7224C49458BB}"/>
            </c:extLst>
          </c:dLbls>
          <c:cat>
            <c:strLit>
              <c:ptCount val="4"/>
              <c:pt idx="0">
                <c:v>Gewerbesteuer</c:v>
              </c:pt>
              <c:pt idx="1">
                <c:v>Einkommensteuer</c:v>
              </c:pt>
              <c:pt idx="2">
                <c:v>Umsatzsteuer</c:v>
              </c:pt>
              <c:pt idx="3">
                <c:v>Weitere Steuern</c:v>
              </c:pt>
            </c:strLit>
          </c:cat>
          <c:val>
            <c:numLit>
              <c:formatCode>0.0</c:formatCode>
              <c:ptCount val="4"/>
              <c:pt idx="0">
                <c:v>300</c:v>
              </c:pt>
              <c:pt idx="1">
                <c:v>23.466000000000001</c:v>
              </c:pt>
              <c:pt idx="2">
                <c:v>21.004999999999999</c:v>
              </c:pt>
              <c:pt idx="3">
                <c:v>3.3149999999999999</c:v>
              </c:pt>
            </c:numLit>
          </c:val>
          <c:extLst>
            <c:ext xmlns:c16="http://schemas.microsoft.com/office/drawing/2014/chart" uri="{C3380CC4-5D6E-409C-BE32-E72D297353CC}">
              <c16:uniqueId val="{00000008-1613-41CE-AC13-99BCF085FBDA}"/>
            </c:ext>
          </c:extLst>
        </c:ser>
        <c:dLbls>
          <c:showLegendKey val="0"/>
          <c:showVal val="0"/>
          <c:showCatName val="0"/>
          <c:showSerName val="0"/>
          <c:showPercent val="1"/>
          <c:showBubbleSize val="0"/>
          <c:showLeaderLines val="0"/>
        </c:dLbls>
        <c:firstSliceAng val="270"/>
        <c:holeSize val="55"/>
      </c:doughnutChart>
    </c:plotArea>
    <c:legend>
      <c:legendPos val="b"/>
      <c:overlay val="0"/>
      <c:txPr>
        <a:bodyPr anchorCtr="1"/>
        <a:lstStyle/>
        <a:p>
          <a:pPr>
            <a:defRPr sz="863">
              <a:solidFill>
                <a:srgbClr val="1F2937"/>
              </a:solidFill>
              <a:latin typeface="Calibri"/>
              <a:ea typeface="Calibri"/>
              <a:cs typeface="Calibri"/>
            </a:defRPr>
          </a:pPr>
          <a:endParaRPr lang="de-DE"/>
        </a:p>
      </c:txPr>
    </c:legend>
    <c:plotVisOnly val="1"/>
    <c:dispBlanksAs val="zero"/>
    <c:showDLblsOverMax val="1"/>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r>
              <a:rPr lang="de-DE" sz="1500" b="1">
                <a:solidFill>
                  <a:srgbClr val="1F2937"/>
                </a:solidFill>
                <a:latin typeface="Calibri"/>
                <a:ea typeface="Calibri"/>
                <a:cs typeface="Calibri"/>
              </a:rPr>
              <a:t>Plan 2026: 304,9 Mio. €</a:t>
            </a:r>
          </a:p>
        </c:rich>
      </c:tx>
      <c:overlay val="0"/>
    </c:title>
    <c:autoTitleDeleted val="0"/>
    <c:plotArea>
      <c:layout/>
      <c:doughnutChart>
        <c:varyColors val="1"/>
        <c:ser>
          <c:idx val="0"/>
          <c:order val="0"/>
          <c:tx>
            <c:strRef>
              <c:f>Tabelle1!$B$1</c:f>
              <c:strCache>
                <c:ptCount val="1"/>
                <c:pt idx="0">
                  <c:v>Plan 2026: 304,9 Mio. €</c:v>
                </c:pt>
              </c:strCache>
            </c:strRef>
          </c:tx>
          <c:dPt>
            <c:idx val="0"/>
            <c:bubble3D val="0"/>
            <c:spPr>
              <a:solidFill>
                <a:srgbClr val="10A9CF"/>
              </a:solidFill>
            </c:spPr>
            <c:extLst>
              <c:ext xmlns:c16="http://schemas.microsoft.com/office/drawing/2014/chart" uri="{C3380CC4-5D6E-409C-BE32-E72D297353CC}">
                <c16:uniqueId val="{00000001-3A96-4A34-894F-E2BB9C46FAFF}"/>
              </c:ext>
            </c:extLst>
          </c:dPt>
          <c:dPt>
            <c:idx val="1"/>
            <c:bubble3D val="0"/>
            <c:spPr>
              <a:solidFill>
                <a:srgbClr val="FFC000"/>
              </a:solidFill>
            </c:spPr>
            <c:extLst>
              <c:ext xmlns:c16="http://schemas.microsoft.com/office/drawing/2014/chart" uri="{C3380CC4-5D6E-409C-BE32-E72D297353CC}">
                <c16:uniqueId val="{00000003-3A96-4A34-894F-E2BB9C46FAFF}"/>
              </c:ext>
            </c:extLst>
          </c:dPt>
          <c:dPt>
            <c:idx val="2"/>
            <c:bubble3D val="0"/>
            <c:spPr>
              <a:solidFill>
                <a:srgbClr val="ED7D31"/>
              </a:solidFill>
            </c:spPr>
            <c:extLst>
              <c:ext xmlns:c16="http://schemas.microsoft.com/office/drawing/2014/chart" uri="{C3380CC4-5D6E-409C-BE32-E72D297353CC}">
                <c16:uniqueId val="{00000005-3A96-4A34-894F-E2BB9C46FAFF}"/>
              </c:ext>
            </c:extLst>
          </c:dPt>
          <c:dPt>
            <c:idx val="3"/>
            <c:bubble3D val="0"/>
            <c:spPr>
              <a:solidFill>
                <a:srgbClr val="70AD47"/>
              </a:solidFill>
            </c:spPr>
            <c:extLst>
              <c:ext xmlns:c16="http://schemas.microsoft.com/office/drawing/2014/chart" uri="{C3380CC4-5D6E-409C-BE32-E72D297353CC}">
                <c16:uniqueId val="{00000007-3A96-4A34-894F-E2BB9C46FAFF}"/>
              </c:ext>
            </c:extLst>
          </c:dPt>
          <c:dLbls>
            <c:spPr>
              <a:noFill/>
              <a:ln>
                <a:noFill/>
              </a:ln>
            </c:spPr>
            <c:txPr>
              <a:bodyPr anchorCtr="1"/>
              <a:lstStyle/>
              <a:p>
                <a:pPr>
                  <a:defRPr sz="863" b="1">
                    <a:solidFill>
                      <a:srgbClr val="1F2937"/>
                    </a:solidFill>
                    <a:latin typeface="Calibri"/>
                    <a:ea typeface="Calibri"/>
                    <a:cs typeface="Calibri"/>
                  </a:defRPr>
                </a:pPr>
                <a:endParaRPr lang="de-DE"/>
              </a:p>
            </c:txPr>
            <c:showLegendKey val="0"/>
            <c:showVal val="0"/>
            <c:showCatName val="0"/>
            <c:showSerName val="0"/>
            <c:showPercent val="1"/>
            <c:showBubbleSize val="0"/>
            <c:showLeaderLines val="0"/>
            <c:extLst>
              <c:ext xmlns:c15="http://schemas.microsoft.com/office/drawing/2012/chart" uri="{CE6537A1-D6FC-4f65-9D91-7224C49458BB}"/>
            </c:extLst>
          </c:dLbls>
          <c:cat>
            <c:strRef>
              <c:f>Tabelle1!$A$2:$A$5</c:f>
              <c:strCache>
                <c:ptCount val="4"/>
                <c:pt idx="0">
                  <c:v>Gewerbesteuer</c:v>
                </c:pt>
                <c:pt idx="1">
                  <c:v>Einkommensteuer</c:v>
                </c:pt>
                <c:pt idx="2">
                  <c:v>Umsatzsteuer</c:v>
                </c:pt>
                <c:pt idx="3">
                  <c:v>Weitere Steuern</c:v>
                </c:pt>
              </c:strCache>
            </c:strRef>
          </c:cat>
          <c:val>
            <c:numRef>
              <c:f>Tabelle1!$B$2:$B$5</c:f>
              <c:numCache>
                <c:formatCode>General</c:formatCode>
                <c:ptCount val="4"/>
                <c:pt idx="0">
                  <c:v>262</c:v>
                </c:pt>
                <c:pt idx="1">
                  <c:v>25.393000000000001</c:v>
                </c:pt>
                <c:pt idx="2">
                  <c:v>14.119</c:v>
                </c:pt>
                <c:pt idx="3">
                  <c:v>3.3841999999999999</c:v>
                </c:pt>
              </c:numCache>
            </c:numRef>
          </c:val>
          <c:extLst>
            <c:ext xmlns:c16="http://schemas.microsoft.com/office/drawing/2014/chart" uri="{C3380CC4-5D6E-409C-BE32-E72D297353CC}">
              <c16:uniqueId val="{00000008-3A96-4A34-894F-E2BB9C46FAFF}"/>
            </c:ext>
          </c:extLst>
        </c:ser>
        <c:dLbls>
          <c:showLegendKey val="0"/>
          <c:showVal val="0"/>
          <c:showCatName val="0"/>
          <c:showSerName val="0"/>
          <c:showPercent val="1"/>
          <c:showBubbleSize val="0"/>
          <c:showLeaderLines val="0"/>
        </c:dLbls>
        <c:firstSliceAng val="270"/>
        <c:holeSize val="55"/>
      </c:doughnutChart>
      <c:spPr>
        <a:ln>
          <a:noFill/>
        </a:ln>
      </c:spPr>
    </c:plotArea>
    <c:legend>
      <c:legendPos val="b"/>
      <c:overlay val="0"/>
      <c:txPr>
        <a:bodyPr anchorCtr="1"/>
        <a:lstStyle/>
        <a:p>
          <a:pPr>
            <a:defRPr sz="863">
              <a:solidFill>
                <a:srgbClr val="1F2937"/>
              </a:solidFill>
              <a:latin typeface="Calibri"/>
              <a:ea typeface="Calibri"/>
              <a:cs typeface="Calibri"/>
            </a:defRPr>
          </a:pPr>
          <a:endParaRPr lang="de-DE"/>
        </a:p>
      </c:txPr>
    </c:legend>
    <c:plotVisOnly val="1"/>
    <c:dispBlanksAs val="zero"/>
    <c:showDLblsOverMax val="1"/>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de-DE"/>
              <a:t>Familie Mustermann im MTK</a:t>
            </a:r>
          </a:p>
        </c:rich>
      </c:tx>
      <c:overlay val="0"/>
    </c:title>
    <c:autoTitleDeleted val="0"/>
    <c:plotArea>
      <c:layout/>
      <c:barChart>
        <c:barDir val="bar"/>
        <c:grouping val="clustered"/>
        <c:varyColors val="1"/>
        <c:ser>
          <c:idx val="0"/>
          <c:order val="0"/>
          <c:tx>
            <c:strRef>
              <c:f>Tabelle1!$B$1</c:f>
              <c:strCache>
                <c:ptCount val="1"/>
                <c:pt idx="0">
                  <c:v>Jahresbelastung</c:v>
                </c:pt>
              </c:strCache>
            </c:strRef>
          </c:tx>
          <c:spPr>
            <a:ln>
              <a:noFill/>
            </a:ln>
          </c:spPr>
          <c:invertIfNegative val="1"/>
          <c:dPt>
            <c:idx val="0"/>
            <c:invertIfNegative val="0"/>
            <c:bubble3D val="0"/>
            <c:spPr>
              <a:solidFill>
                <a:srgbClr val="10A9CF"/>
              </a:solidFill>
              <a:ln>
                <a:noFill/>
              </a:ln>
            </c:spPr>
            <c:extLst>
              <c:ext xmlns:c16="http://schemas.microsoft.com/office/drawing/2014/chart" uri="{C3380CC4-5D6E-409C-BE32-E72D297353CC}">
                <c16:uniqueId val="{00000001-3A77-4DE7-B938-37055D04BB64}"/>
              </c:ext>
            </c:extLst>
          </c:dPt>
          <c:dPt>
            <c:idx val="1"/>
            <c:invertIfNegative val="0"/>
            <c:bubble3D val="0"/>
            <c:spPr>
              <a:solidFill>
                <a:srgbClr val="5B9BD5"/>
              </a:solidFill>
              <a:ln>
                <a:noFill/>
              </a:ln>
            </c:spPr>
            <c:extLst>
              <c:ext xmlns:c16="http://schemas.microsoft.com/office/drawing/2014/chart" uri="{C3380CC4-5D6E-409C-BE32-E72D297353CC}">
                <c16:uniqueId val="{00000003-3A77-4DE7-B938-37055D04BB64}"/>
              </c:ext>
            </c:extLst>
          </c:dPt>
          <c:dPt>
            <c:idx val="2"/>
            <c:invertIfNegative val="0"/>
            <c:bubble3D val="0"/>
            <c:spPr>
              <a:solidFill>
                <a:srgbClr val="FFC000"/>
              </a:solidFill>
              <a:ln>
                <a:noFill/>
              </a:ln>
            </c:spPr>
            <c:extLst>
              <c:ext xmlns:c16="http://schemas.microsoft.com/office/drawing/2014/chart" uri="{C3380CC4-5D6E-409C-BE32-E72D297353CC}">
                <c16:uniqueId val="{00000005-3A77-4DE7-B938-37055D04BB64}"/>
              </c:ext>
            </c:extLst>
          </c:dPt>
          <c:dPt>
            <c:idx val="3"/>
            <c:invertIfNegative val="0"/>
            <c:bubble3D val="0"/>
            <c:spPr>
              <a:solidFill>
                <a:srgbClr val="ED7D31"/>
              </a:solidFill>
              <a:ln>
                <a:noFill/>
              </a:ln>
            </c:spPr>
            <c:extLst>
              <c:ext xmlns:c16="http://schemas.microsoft.com/office/drawing/2014/chart" uri="{C3380CC4-5D6E-409C-BE32-E72D297353CC}">
                <c16:uniqueId val="{00000007-3A77-4DE7-B938-37055D04BB64}"/>
              </c:ext>
            </c:extLst>
          </c:dPt>
          <c:dPt>
            <c:idx val="4"/>
            <c:invertIfNegative val="0"/>
            <c:bubble3D val="0"/>
            <c:spPr>
              <a:solidFill>
                <a:srgbClr val="2F5597"/>
              </a:solidFill>
              <a:ln>
                <a:noFill/>
              </a:ln>
            </c:spPr>
            <c:extLst>
              <c:ext xmlns:c16="http://schemas.microsoft.com/office/drawing/2014/chart" uri="{C3380CC4-5D6E-409C-BE32-E72D297353CC}">
                <c16:uniqueId val="{00000009-3A77-4DE7-B938-37055D04BB64}"/>
              </c:ext>
            </c:extLst>
          </c:dPt>
          <c:dLbls>
            <c:spPr>
              <a:noFill/>
              <a:ln>
                <a:noFill/>
              </a:ln>
              <a:effectLst/>
            </c:spPr>
            <c:txPr>
              <a:bodyPr anchorCtr="1"/>
              <a:lstStyle/>
              <a:p>
                <a:pPr>
                  <a:defRPr sz="1050" b="1">
                    <a:solidFill>
                      <a:srgbClr val="1F2937"/>
                    </a:solidFill>
                    <a:latin typeface="Calibri"/>
                    <a:ea typeface="Calibri"/>
                    <a:cs typeface="Calibri"/>
                  </a:defRPr>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Tabelle1!$A$2:$A$6</c:f>
              <c:strCache>
                <c:ptCount val="5"/>
                <c:pt idx="0">
                  <c:v>Eschborn</c:v>
                </c:pt>
                <c:pt idx="1">
                  <c:v>Sulzbach</c:v>
                </c:pt>
                <c:pt idx="2">
                  <c:v>Bad Soden*</c:v>
                </c:pt>
                <c:pt idx="3">
                  <c:v>Hofheim</c:v>
                </c:pt>
                <c:pt idx="4">
                  <c:v>Schwalbach</c:v>
                </c:pt>
              </c:strCache>
            </c:strRef>
          </c:cat>
          <c:val>
            <c:numRef>
              <c:f>Tabelle1!$B$2:$B$6</c:f>
              <c:numCache>
                <c:formatCode>General</c:formatCode>
                <c:ptCount val="5"/>
                <c:pt idx="0">
                  <c:v>2280</c:v>
                </c:pt>
                <c:pt idx="1">
                  <c:v>3427</c:v>
                </c:pt>
                <c:pt idx="2">
                  <c:v>4500</c:v>
                </c:pt>
                <c:pt idx="3">
                  <c:v>4899</c:v>
                </c:pt>
                <c:pt idx="4">
                  <c:v>5376</c:v>
                </c:pt>
              </c:numCache>
            </c:numRef>
          </c:val>
          <c:extLst>
            <c:ext xmlns:c16="http://schemas.microsoft.com/office/drawing/2014/chart" uri="{C3380CC4-5D6E-409C-BE32-E72D297353CC}">
              <c16:uniqueId val="{0000000A-3A77-4DE7-B938-37055D04BB64}"/>
            </c:ext>
          </c:extLst>
        </c:ser>
        <c:dLbls>
          <c:dLblPos val="outEnd"/>
          <c:showLegendKey val="0"/>
          <c:showVal val="1"/>
          <c:showCatName val="0"/>
          <c:showSerName val="0"/>
          <c:showPercent val="0"/>
          <c:showBubbleSize val="0"/>
        </c:dLbls>
        <c:gapWidth val="55"/>
        <c:axId val="48650112"/>
        <c:axId val="48672768"/>
      </c:barChart>
      <c:catAx>
        <c:axId val="48650112"/>
        <c:scaling>
          <c:orientation val="minMax"/>
        </c:scaling>
        <c:delete val="0"/>
        <c:axPos val="l"/>
        <c:majorGridlines>
          <c:spPr>
            <a:ln w="9525">
              <a:solidFill>
                <a:srgbClr val="D9E2E8"/>
              </a:solidFill>
              <a:prstDash val="solid"/>
            </a:ln>
          </c:spPr>
        </c:majorGridlines>
        <c:title>
          <c:tx>
            <c:rich>
              <a:bodyPr/>
              <a:lstStyle/>
              <a:p>
                <a:r>
                  <a:rPr lang="de-DE">
                    <a:latin typeface="Calibri"/>
                    <a:ea typeface="Calibri"/>
                    <a:cs typeface="Calibri"/>
                  </a:rPr>
                  <a:t>Euro pro Jahr</a:t>
                </a:r>
              </a:p>
            </c:rich>
          </c:tx>
          <c:overlay val="0"/>
        </c:title>
        <c:numFmt formatCode="General" sourceLinked="1"/>
        <c:majorTickMark val="none"/>
        <c:minorTickMark val="none"/>
        <c:tickLblPos val="nextTo"/>
        <c:spPr>
          <a:ln w="9525">
            <a:solidFill>
              <a:srgbClr val="D4D4D4"/>
            </a:solidFill>
            <a:prstDash val="solid"/>
          </a:ln>
        </c:spPr>
        <c:txPr>
          <a:bodyPr anchorCtr="1"/>
          <a:lstStyle/>
          <a:p>
            <a:pPr>
              <a:defRPr sz="975">
                <a:solidFill>
                  <a:srgbClr val="1F2937"/>
                </a:solidFill>
                <a:latin typeface="Calibri"/>
                <a:ea typeface="Calibri"/>
                <a:cs typeface="Calibri"/>
              </a:defRPr>
            </a:pPr>
            <a:endParaRPr lang="de-DE"/>
          </a:p>
        </c:txPr>
        <c:crossAx val="48672768"/>
        <c:crosses val="autoZero"/>
        <c:auto val="1"/>
        <c:lblAlgn val="ctr"/>
        <c:lblOffset val="100"/>
        <c:noMultiLvlLbl val="1"/>
      </c:catAx>
      <c:valAx>
        <c:axId val="48672768"/>
        <c:scaling>
          <c:orientation val="minMax"/>
        </c:scaling>
        <c:delete val="0"/>
        <c:axPos val="b"/>
        <c:numFmt formatCode="#,##0\ &quot;€&quot;" sourceLinked="0"/>
        <c:majorTickMark val="none"/>
        <c:minorTickMark val="none"/>
        <c:tickLblPos val="nextTo"/>
        <c:spPr>
          <a:ln w="9525">
            <a:solidFill>
              <a:srgbClr val="9CA3AF"/>
            </a:solidFill>
            <a:prstDash val="solid"/>
          </a:ln>
        </c:spPr>
        <c:txPr>
          <a:bodyPr anchorCtr="1"/>
          <a:lstStyle/>
          <a:p>
            <a:pPr>
              <a:defRPr sz="1125">
                <a:solidFill>
                  <a:srgbClr val="1F2937"/>
                </a:solidFill>
                <a:latin typeface="Calibri"/>
                <a:ea typeface="Calibri"/>
                <a:cs typeface="Calibri"/>
              </a:defRPr>
            </a:pPr>
            <a:endParaRPr lang="de-DE"/>
          </a:p>
        </c:txPr>
        <c:crossAx val="48650112"/>
        <c:crosses val="autoZero"/>
        <c:crossBetween val="between"/>
      </c:valAx>
    </c:plotArea>
    <c:plotVisOnly val="1"/>
    <c:dispBlanksAs val="zero"/>
    <c:showDLblsOverMax val="1"/>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de-DE"/>
              <a:t>Die 5</a:t>
            </a:r>
            <a:r>
              <a:rPr lang="de-DE" baseline="0"/>
              <a:t> größten </a:t>
            </a:r>
            <a:r>
              <a:rPr lang="de-DE"/>
              <a:t>Umlagen im HH 2027</a:t>
            </a:r>
          </a:p>
        </c:rich>
      </c:tx>
      <c:overlay val="0"/>
    </c:title>
    <c:autoTitleDeleted val="0"/>
    <c:plotArea>
      <c:layout/>
      <c:barChart>
        <c:barDir val="bar"/>
        <c:grouping val="clustered"/>
        <c:varyColors val="0"/>
        <c:ser>
          <c:idx val="0"/>
          <c:order val="0"/>
          <c:tx>
            <c:v>Plan 2026</c:v>
          </c:tx>
          <c:spPr>
            <a:solidFill>
              <a:srgbClr val="F4B183"/>
            </a:solidFill>
          </c:spPr>
          <c:invertIfNegative val="1"/>
          <c:dLbls>
            <c:spPr>
              <a:noFill/>
              <a:ln>
                <a:noFill/>
              </a:ln>
            </c:spPr>
            <c:txPr>
              <a:bodyPr anchorCtr="1"/>
              <a:lstStyle/>
              <a:p>
                <a:pPr>
                  <a:defRPr sz="825" b="1">
                    <a:solidFill>
                      <a:srgbClr val="1F2937"/>
                    </a:solidFill>
                    <a:latin typeface="Calibri"/>
                    <a:ea typeface="Calibri"/>
                    <a:cs typeface="Calibri"/>
                  </a:defRPr>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5"/>
              <c:pt idx="0">
                <c:v>Heimatumlage</c:v>
              </c:pt>
              <c:pt idx="1">
                <c:v>Gewerbesteuerumlage</c:v>
              </c:pt>
              <c:pt idx="2">
                <c:v>Schulumlage</c:v>
              </c:pt>
              <c:pt idx="3">
                <c:v>Solidaritätsumlage</c:v>
              </c:pt>
              <c:pt idx="4">
                <c:v>Kreisumlage</c:v>
              </c:pt>
            </c:strLit>
          </c:cat>
          <c:val>
            <c:numLit>
              <c:formatCode>0.0" Mio. €"</c:formatCode>
              <c:ptCount val="5"/>
              <c:pt idx="0">
                <c:v>17</c:v>
              </c:pt>
              <c:pt idx="1">
                <c:v>28</c:v>
              </c:pt>
              <c:pt idx="2">
                <c:v>39.972000000000001</c:v>
              </c:pt>
              <c:pt idx="3">
                <c:v>57.884</c:v>
              </c:pt>
              <c:pt idx="4">
                <c:v>82.049000000000007</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0-C3DA-4BD5-8861-6A6A699190D4}"/>
            </c:ext>
          </c:extLst>
        </c:ser>
        <c:ser>
          <c:idx val="1"/>
          <c:order val="1"/>
          <c:tx>
            <c:v>Plan 2027</c:v>
          </c:tx>
          <c:spPr>
            <a:solidFill>
              <a:srgbClr val="10A9CF"/>
            </a:solidFill>
          </c:spPr>
          <c:invertIfNegative val="1"/>
          <c:dLbls>
            <c:spPr>
              <a:noFill/>
              <a:ln>
                <a:noFill/>
              </a:ln>
            </c:spPr>
            <c:txPr>
              <a:bodyPr anchorCtr="1"/>
              <a:lstStyle/>
              <a:p>
                <a:pPr>
                  <a:defRPr sz="825" b="1">
                    <a:solidFill>
                      <a:srgbClr val="1F2937"/>
                    </a:solidFill>
                    <a:latin typeface="Calibri"/>
                    <a:ea typeface="Calibri"/>
                    <a:cs typeface="Calibri"/>
                  </a:defRPr>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5"/>
              <c:pt idx="0">
                <c:v>Heimatumlage</c:v>
              </c:pt>
              <c:pt idx="1">
                <c:v>Gewerbesteuerumlage</c:v>
              </c:pt>
              <c:pt idx="2">
                <c:v>Schulumlage</c:v>
              </c:pt>
              <c:pt idx="3">
                <c:v>Solidaritätsumlage</c:v>
              </c:pt>
              <c:pt idx="4">
                <c:v>Kreisumlage</c:v>
              </c:pt>
            </c:strLit>
          </c:cat>
          <c:val>
            <c:numLit>
              <c:formatCode>0.0" Mio. €"</c:formatCode>
              <c:ptCount val="5"/>
              <c:pt idx="0">
                <c:v>19.773</c:v>
              </c:pt>
              <c:pt idx="1">
                <c:v>31.82</c:v>
              </c:pt>
              <c:pt idx="2">
                <c:v>52.909199999999998</c:v>
              </c:pt>
              <c:pt idx="3">
                <c:v>76.625399999999999</c:v>
              </c:pt>
              <c:pt idx="4">
                <c:v>101.7287</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1-C3DA-4BD5-8861-6A6A699190D4}"/>
            </c:ext>
          </c:extLst>
        </c:ser>
        <c:dLbls>
          <c:dLblPos val="outEnd"/>
          <c:showLegendKey val="0"/>
          <c:showVal val="1"/>
          <c:showCatName val="0"/>
          <c:showSerName val="0"/>
          <c:showPercent val="0"/>
          <c:showBubbleSize val="0"/>
        </c:dLbls>
        <c:gapWidth val="48"/>
        <c:axId val="48650112"/>
        <c:axId val="48672768"/>
      </c:barChart>
      <c:catAx>
        <c:axId val="48650112"/>
        <c:scaling>
          <c:orientation val="minMax"/>
        </c:scaling>
        <c:delete val="0"/>
        <c:axPos val="l"/>
        <c:majorGridlines>
          <c:spPr>
            <a:ln w="9525">
              <a:solidFill>
                <a:srgbClr val="D9E2E8"/>
              </a:solidFill>
              <a:prstDash val="solid"/>
            </a:ln>
          </c:spPr>
        </c:majorGridlines>
        <c:numFmt formatCode="General" sourceLinked="1"/>
        <c:majorTickMark val="none"/>
        <c:minorTickMark val="none"/>
        <c:tickLblPos val="nextTo"/>
        <c:spPr>
          <a:ln w="9525">
            <a:noFill/>
            <a:prstDash val="solid"/>
          </a:ln>
        </c:spPr>
        <c:txPr>
          <a:bodyPr anchorCtr="1"/>
          <a:lstStyle/>
          <a:p>
            <a:pPr>
              <a:defRPr sz="900">
                <a:solidFill>
                  <a:srgbClr val="1F2937"/>
                </a:solidFill>
                <a:latin typeface="Calibri"/>
                <a:ea typeface="Calibri"/>
                <a:cs typeface="Calibri"/>
              </a:defRPr>
            </a:pPr>
            <a:endParaRPr lang="de-DE"/>
          </a:p>
        </c:txPr>
        <c:crossAx val="48672768"/>
        <c:crosses val="autoZero"/>
        <c:auto val="1"/>
        <c:lblAlgn val="ctr"/>
        <c:lblOffset val="100"/>
        <c:noMultiLvlLbl val="1"/>
      </c:catAx>
      <c:valAx>
        <c:axId val="48672768"/>
        <c:scaling>
          <c:orientation val="minMax"/>
        </c:scaling>
        <c:delete val="0"/>
        <c:axPos val="b"/>
        <c:numFmt formatCode="0.0&quot; Mio. €&quot;" sourceLinked="1"/>
        <c:majorTickMark val="none"/>
        <c:minorTickMark val="none"/>
        <c:tickLblPos val="nextTo"/>
        <c:spPr>
          <a:ln w="9525">
            <a:solidFill>
              <a:srgbClr val="9CA3AF"/>
            </a:solidFill>
            <a:prstDash val="solid"/>
          </a:ln>
        </c:spPr>
        <c:txPr>
          <a:bodyPr anchorCtr="1"/>
          <a:lstStyle/>
          <a:p>
            <a:pPr>
              <a:defRPr sz="975">
                <a:solidFill>
                  <a:srgbClr val="1F2937"/>
                </a:solidFill>
                <a:latin typeface="Calibri"/>
                <a:ea typeface="Calibri"/>
                <a:cs typeface="Calibri"/>
              </a:defRPr>
            </a:pPr>
            <a:endParaRPr lang="de-DE"/>
          </a:p>
        </c:txPr>
        <c:crossAx val="48650112"/>
        <c:crosses val="autoZero"/>
        <c:crossBetween val="between"/>
      </c:valAx>
    </c:plotArea>
    <c:legend>
      <c:legendPos val="b"/>
      <c:overlay val="0"/>
      <c:txPr>
        <a:bodyPr anchorCtr="1"/>
        <a:lstStyle/>
        <a:p>
          <a:pPr>
            <a:defRPr sz="1050">
              <a:solidFill>
                <a:srgbClr val="1F2937"/>
              </a:solidFill>
              <a:latin typeface="Calibri"/>
              <a:ea typeface="Calibri"/>
              <a:cs typeface="Calibri"/>
            </a:defRPr>
          </a:pPr>
          <a:endParaRPr lang="de-DE"/>
        </a:p>
      </c:txPr>
    </c:legend>
    <c:plotVisOnly val="1"/>
    <c:dispBlanksAs val="zero"/>
    <c:showDLblsOverMax val="1"/>
  </c:chart>
  <c:spPr>
    <a:ln>
      <a:noFill/>
    </a:ln>
  </c:spPr>
</c:chartSpace>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AFAC0-A340-4A65-B5EA-579D099A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1072</Words>
  <Characters>7141</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8197</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Beate Senftner</dc:creator>
  <cp:keywords/>
  <dc:description/>
  <cp:lastModifiedBy>Lisa Alena Hopfgarten</cp:lastModifiedBy>
  <cp:revision>4</cp:revision>
  <cp:lastPrinted>2020-08-26T08:40:00Z</cp:lastPrinted>
  <dcterms:created xsi:type="dcterms:W3CDTF">2026-09-23T16:38:00Z</dcterms:created>
  <dcterms:modified xsi:type="dcterms:W3CDTF">2026-09-24T14:22:00Z</dcterms:modified>
</cp:coreProperties>
</file>