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4B45F" w14:textId="2FD22C80" w:rsidR="00FF34C7" w:rsidRPr="007B50BB" w:rsidRDefault="007B50BB" w:rsidP="00FF34C7">
      <w:pPr>
        <w:spacing w:after="0" w:line="240" w:lineRule="auto"/>
        <w:rPr>
          <w:rFonts w:eastAsia="Arial" w:cs="Times New Roman"/>
          <w:b/>
          <w:bCs/>
          <w:sz w:val="40"/>
          <w:szCs w:val="40"/>
        </w:rPr>
      </w:pPr>
      <w:r w:rsidRPr="007B50BB">
        <w:rPr>
          <w:rFonts w:eastAsia="Arial" w:cs="Times New Roman"/>
          <w:b/>
          <w:bCs/>
          <w:sz w:val="40"/>
          <w:szCs w:val="40"/>
        </w:rPr>
        <w:t xml:space="preserve">Fünf Projekte </w:t>
      </w:r>
      <w:r w:rsidR="009C0877">
        <w:rPr>
          <w:rFonts w:eastAsia="Arial" w:cs="Times New Roman"/>
          <w:b/>
          <w:bCs/>
          <w:sz w:val="40"/>
          <w:szCs w:val="40"/>
        </w:rPr>
        <w:t xml:space="preserve">der Ebene UNSRE GÄRTEN </w:t>
      </w:r>
      <w:r w:rsidRPr="007B50BB">
        <w:rPr>
          <w:rFonts w:eastAsia="Arial" w:cs="Times New Roman"/>
          <w:b/>
          <w:bCs/>
          <w:sz w:val="40"/>
          <w:szCs w:val="40"/>
        </w:rPr>
        <w:t>erreichen den 3. Stern der IGA 2027</w:t>
      </w:r>
    </w:p>
    <w:p w14:paraId="2C01783A" w14:textId="77777777" w:rsidR="00FF34C7" w:rsidRDefault="00FF34C7" w:rsidP="00FF34C7">
      <w:pPr>
        <w:spacing w:after="0" w:line="240" w:lineRule="auto"/>
        <w:rPr>
          <w:rFonts w:eastAsia="Arial" w:cs="Times New Roman"/>
          <w:b/>
          <w:bCs/>
        </w:rPr>
      </w:pPr>
    </w:p>
    <w:p w14:paraId="171C2EA7" w14:textId="77777777" w:rsidR="00FF34C7" w:rsidRPr="00FF34C7" w:rsidRDefault="00FF34C7" w:rsidP="00FF34C7">
      <w:pPr>
        <w:spacing w:after="0" w:line="240" w:lineRule="auto"/>
        <w:rPr>
          <w:rFonts w:eastAsia="Arial" w:cs="Times New Roman"/>
          <w:b/>
          <w:bCs/>
        </w:rPr>
      </w:pPr>
    </w:p>
    <w:p w14:paraId="2F367F95" w14:textId="77777777" w:rsidR="00FF34C7" w:rsidRPr="007B50BB" w:rsidRDefault="00FF34C7" w:rsidP="00FF34C7">
      <w:pPr>
        <w:spacing w:after="0" w:line="240" w:lineRule="auto"/>
        <w:rPr>
          <w:rFonts w:eastAsia="Arial" w:cs="Times New Roman"/>
          <w:b/>
          <w:bCs/>
          <w:sz w:val="32"/>
          <w:szCs w:val="32"/>
        </w:rPr>
      </w:pPr>
      <w:r w:rsidRPr="007B50BB">
        <w:rPr>
          <w:rFonts w:eastAsia="Arial" w:cs="Times New Roman"/>
          <w:b/>
          <w:bCs/>
          <w:sz w:val="32"/>
          <w:szCs w:val="32"/>
        </w:rPr>
        <w:t xml:space="preserve">Zechenpark Kamp-Lintfort – Stadt Kamp-Lintfort: </w:t>
      </w:r>
    </w:p>
    <w:p w14:paraId="5B191E3C" w14:textId="77777777" w:rsidR="007B50BB" w:rsidRDefault="007B50BB" w:rsidP="00FF34C7">
      <w:pPr>
        <w:spacing w:after="0" w:line="240" w:lineRule="auto"/>
        <w:rPr>
          <w:rFonts w:eastAsia="Arial" w:cs="Times New Roman"/>
        </w:rPr>
      </w:pPr>
    </w:p>
    <w:p w14:paraId="58C93279" w14:textId="62C350DB" w:rsidR="00FF34C7" w:rsidRPr="00FF34C7" w:rsidRDefault="00FF34C7" w:rsidP="00FF34C7">
      <w:pPr>
        <w:spacing w:after="0" w:line="240" w:lineRule="auto"/>
        <w:rPr>
          <w:rFonts w:eastAsia="Arial" w:cs="Times New Roman"/>
        </w:rPr>
      </w:pPr>
      <w:r w:rsidRPr="00FF34C7">
        <w:rPr>
          <w:rFonts w:eastAsia="Arial" w:cs="Times New Roman"/>
        </w:rPr>
        <w:t>Der Zechenpark Friedrich Heinrich ist seit Ende der Landesgartenschau 2020 frei zugänglich und bietet hohen Erholungswert. Das Zentrum für Bergbautradition und das Green Fab Lab der Hochschule Rhein-Waal thematisieren Industriekultur, Digitalisierung und grüne Technologien. Schwerpunkt des aktuellen Projekts sind Biodiversität und Klimaresilienz. Geplant ist ein wissenschaftlich begleitetes Modellprojekt zum ökologischen Nutzen alternativer Gleisbaulösungen, zur umweltfreundlichen Pflege (z. B. Verzicht auf Pestizide) und zur breiten Vorbildwirkung. Die ehemalige Zechenbahn-Strecke wird revitalisiert, um Biodiversität, Aufenthaltsqualität und Naturerlebnis zu fördern. Ein „Grünes Gleis“ mit Rasensaat statt Schotter soll ÖPNV-Attraktivität und stadtklimatische Vorteile bringen; insektenschonende Strukturen und ein Insektenhotelband aus Lebend- oder Totholzhecken sichern die Gleisanlagen. Ziel ist eine Vernetzung von Lebensräumen im Zechenpark und die Stärkung verschiedener Arten. Eine Regionalbahn-Verbindung wird den Studierenden eine gute Anbindung zur Hochschule ermöglichen; nördlich entsteht ein kleine</w:t>
      </w:r>
      <w:r w:rsidR="0035648F">
        <w:rPr>
          <w:rFonts w:eastAsia="Arial" w:cs="Times New Roman"/>
        </w:rPr>
        <w:t>s</w:t>
      </w:r>
      <w:r w:rsidRPr="00FF34C7">
        <w:rPr>
          <w:rFonts w:eastAsia="Arial" w:cs="Times New Roman"/>
        </w:rPr>
        <w:t>, PV-dächer- bzw. begrüntes Bahnhofsgebäude, das den Platz schattig gestaltet und an Bus- und Bahnlinien bindet. Südlich entsteht das Klimawäldchen als kühlender Ort und „Grünes Klassenzimmer“ der Umweltbildung.</w:t>
      </w:r>
    </w:p>
    <w:p w14:paraId="6C1FF1AC" w14:textId="1B57F7FC" w:rsidR="00FF34C7" w:rsidRDefault="00FF34C7" w:rsidP="00FF34C7">
      <w:pPr>
        <w:spacing w:after="0" w:line="240" w:lineRule="auto"/>
        <w:rPr>
          <w:rFonts w:eastAsia="Arial" w:cs="Times New Roman"/>
          <w:b/>
          <w:bCs/>
        </w:rPr>
      </w:pPr>
    </w:p>
    <w:p w14:paraId="30B49119" w14:textId="77777777" w:rsidR="007B50BB" w:rsidRPr="00FF34C7" w:rsidRDefault="007B50BB" w:rsidP="00FF34C7">
      <w:pPr>
        <w:spacing w:after="0" w:line="240" w:lineRule="auto"/>
        <w:rPr>
          <w:rFonts w:eastAsia="Arial" w:cs="Times New Roman"/>
          <w:b/>
          <w:bCs/>
        </w:rPr>
      </w:pPr>
    </w:p>
    <w:p w14:paraId="20874DEB" w14:textId="77777777" w:rsidR="00FF34C7" w:rsidRPr="007B50BB" w:rsidRDefault="00FF34C7" w:rsidP="00FF34C7">
      <w:pPr>
        <w:spacing w:after="0" w:line="240" w:lineRule="auto"/>
        <w:rPr>
          <w:rFonts w:eastAsia="Arial" w:cs="Times New Roman"/>
          <w:b/>
          <w:bCs/>
          <w:sz w:val="32"/>
          <w:szCs w:val="32"/>
        </w:rPr>
      </w:pPr>
      <w:r w:rsidRPr="007B50BB">
        <w:rPr>
          <w:rFonts w:eastAsia="Arial" w:cs="Times New Roman"/>
          <w:b/>
          <w:bCs/>
          <w:sz w:val="32"/>
          <w:szCs w:val="32"/>
        </w:rPr>
        <w:t xml:space="preserve">WASAG- Gelände – Kreis Recklinghausen: </w:t>
      </w:r>
    </w:p>
    <w:p w14:paraId="2843B531" w14:textId="77777777" w:rsidR="007B50BB" w:rsidRDefault="007B50BB" w:rsidP="00FF34C7">
      <w:pPr>
        <w:spacing w:after="0" w:line="240" w:lineRule="auto"/>
        <w:rPr>
          <w:rFonts w:eastAsia="Arial" w:cs="Times New Roman"/>
        </w:rPr>
      </w:pPr>
    </w:p>
    <w:p w14:paraId="01C502B9" w14:textId="55276DE1" w:rsidR="00FF34C7" w:rsidRPr="00FF34C7" w:rsidRDefault="00FF34C7" w:rsidP="00FF34C7">
      <w:pPr>
        <w:spacing w:after="0" w:line="240" w:lineRule="auto"/>
        <w:rPr>
          <w:rFonts w:eastAsia="Arial" w:cs="Times New Roman"/>
        </w:rPr>
      </w:pPr>
      <w:r w:rsidRPr="00FF34C7">
        <w:rPr>
          <w:rFonts w:eastAsia="Arial" w:cs="Times New Roman"/>
        </w:rPr>
        <w:t xml:space="preserve">Nach dem Ende der Sprengstoffproduktion plant der Kreis Recklinghausen das WASAG-Gelände in Haltern am See als Energie- und Umweltquartier. Auf rund 220 Hektar wird in Kooperation mit der Stadt Haltern eine Nutzung entwickelt, die </w:t>
      </w:r>
      <w:r w:rsidR="00C8350E">
        <w:rPr>
          <w:rFonts w:eastAsia="Arial" w:cs="Times New Roman"/>
        </w:rPr>
        <w:t xml:space="preserve">auf die </w:t>
      </w:r>
      <w:r w:rsidRPr="00FF34C7">
        <w:rPr>
          <w:rFonts w:eastAsia="Arial" w:cs="Times New Roman"/>
        </w:rPr>
        <w:t>gewachsene Kulturlandschaft Rücksicht nimmt. Das Gelände erzählt seine Geschichte – von der WASAG-Produktion (1898–2018) – und soll auch künftig davon berichten. Vor der IGA 2027 öffnen sich die Werkstore: Besucher erleben die Industrielandschaft und ihre Transformation. Zentrale Themen der IGA 2027 sind Erinnerungslandschaft der Sprengstoffproduktion, Sanierung von Boden- und Grundwasserschäden als Reallabor, Transformation zu einem zukunftsfähigen Quartier, nachhaltige Erzeugung und Speicherung regenerativer Energien sowie Naturerleben in Wäldern, Mooren und Biotopstrukturen. Das Konzept setzt Maßstäbe für die Berücksichtigung historischer Zusammenhänge, zukunftsfähige Energienutzung und nachhaltigen Biotopschutz.</w:t>
      </w:r>
    </w:p>
    <w:p w14:paraId="7E061838" w14:textId="09B5C88A" w:rsidR="00FF34C7" w:rsidRPr="00FF34C7" w:rsidRDefault="00FF34C7" w:rsidP="00FF34C7">
      <w:pPr>
        <w:spacing w:after="0" w:line="240" w:lineRule="auto"/>
        <w:rPr>
          <w:rFonts w:eastAsia="Arial" w:cs="Times New Roman"/>
        </w:rPr>
      </w:pPr>
      <w:r w:rsidRPr="00FF34C7">
        <w:rPr>
          <w:rFonts w:eastAsia="Arial" w:cs="Times New Roman"/>
        </w:rPr>
        <w:t xml:space="preserve">Im konkreten Fall bedeutet dies, dass </w:t>
      </w:r>
      <w:r w:rsidR="000C1EA9">
        <w:rPr>
          <w:rFonts w:eastAsia="Arial" w:cs="Times New Roman"/>
        </w:rPr>
        <w:t xml:space="preserve">zunächst </w:t>
      </w:r>
      <w:r w:rsidRPr="00FF34C7">
        <w:rPr>
          <w:rFonts w:eastAsia="Arial" w:cs="Times New Roman"/>
        </w:rPr>
        <w:t xml:space="preserve">das Pförtnergebäude denkmalgerecht saniert wird. Baustart </w:t>
      </w:r>
      <w:r w:rsidR="000C1EA9">
        <w:rPr>
          <w:rFonts w:eastAsia="Arial" w:cs="Times New Roman"/>
        </w:rPr>
        <w:t>war im</w:t>
      </w:r>
      <w:r w:rsidRPr="00FF34C7">
        <w:rPr>
          <w:rFonts w:eastAsia="Arial" w:cs="Times New Roman"/>
        </w:rPr>
        <w:t xml:space="preserve"> Mai 2026. Über das Sanierungsprojekt hinaus werden kleinere, nicht-</w:t>
      </w:r>
      <w:r w:rsidRPr="00FF34C7">
        <w:rPr>
          <w:rFonts w:eastAsia="Arial" w:cs="Times New Roman"/>
        </w:rPr>
        <w:lastRenderedPageBreak/>
        <w:t>investive (und somit auch nicht förderfähige) Maßnahmen zur Verkehrssicherung und Besucherlenkung durchgeführt, um die geplanten Geländeführungen sicher abhalten zu können.</w:t>
      </w:r>
    </w:p>
    <w:p w14:paraId="5178EAEF" w14:textId="42E170E2" w:rsidR="00FF34C7" w:rsidRDefault="00FF34C7" w:rsidP="00FF34C7">
      <w:pPr>
        <w:spacing w:after="0" w:line="240" w:lineRule="auto"/>
        <w:rPr>
          <w:rFonts w:eastAsia="Arial" w:cs="Times New Roman"/>
          <w:b/>
          <w:bCs/>
        </w:rPr>
      </w:pPr>
    </w:p>
    <w:p w14:paraId="484DE20A" w14:textId="77777777" w:rsidR="00357A37" w:rsidRPr="00FF34C7" w:rsidRDefault="00357A37" w:rsidP="00FF34C7">
      <w:pPr>
        <w:spacing w:after="0" w:line="240" w:lineRule="auto"/>
        <w:rPr>
          <w:rFonts w:eastAsia="Arial" w:cs="Times New Roman"/>
          <w:b/>
          <w:bCs/>
        </w:rPr>
      </w:pPr>
    </w:p>
    <w:p w14:paraId="26D9C611" w14:textId="77777777" w:rsidR="00FF34C7" w:rsidRPr="00270CB2" w:rsidRDefault="00FF34C7" w:rsidP="00FF34C7">
      <w:pPr>
        <w:spacing w:after="0" w:line="240" w:lineRule="auto"/>
        <w:rPr>
          <w:rFonts w:eastAsia="Arial" w:cs="Times New Roman"/>
          <w:b/>
          <w:bCs/>
          <w:sz w:val="32"/>
          <w:szCs w:val="32"/>
        </w:rPr>
      </w:pPr>
      <w:r w:rsidRPr="00270CB2">
        <w:rPr>
          <w:rFonts w:eastAsia="Arial" w:cs="Times New Roman"/>
          <w:b/>
          <w:bCs/>
          <w:sz w:val="32"/>
          <w:szCs w:val="32"/>
        </w:rPr>
        <w:t xml:space="preserve">Ruhrpromenade Winz-Baak – Stadt Hattingen: </w:t>
      </w:r>
    </w:p>
    <w:p w14:paraId="70BE1D5B" w14:textId="77777777" w:rsidR="00270CB2" w:rsidRDefault="00270CB2" w:rsidP="00FF34C7">
      <w:pPr>
        <w:spacing w:after="0" w:line="240" w:lineRule="auto"/>
        <w:rPr>
          <w:rFonts w:eastAsia="Arial" w:cs="Times New Roman"/>
        </w:rPr>
      </w:pPr>
    </w:p>
    <w:p w14:paraId="0B903B97" w14:textId="5DC1D967" w:rsidR="00FF34C7" w:rsidRPr="00FF34C7" w:rsidRDefault="00FF34C7" w:rsidP="00FF34C7">
      <w:pPr>
        <w:spacing w:after="0" w:line="240" w:lineRule="auto"/>
        <w:rPr>
          <w:rFonts w:eastAsia="Arial" w:cs="Times New Roman"/>
        </w:rPr>
      </w:pPr>
      <w:r w:rsidRPr="00FF34C7">
        <w:rPr>
          <w:rFonts w:eastAsia="Arial" w:cs="Times New Roman"/>
        </w:rPr>
        <w:t xml:space="preserve">Was fehlt ist der direkte Bezug: Der Hattinger Innenstadtbereich und der Stadtteil Winz-Baak haben bislang keine attraktive, unmittelbare Anbindung an die Ruhr. Diesen Erholungsraum für die Menschen vor Ort unmittelbar erlebbar zu machen, ist eines der Ziele der neuen Ruhrpromenade. Und es gibt weitere: beispielsweise die Attraktivierung des Ruhrtal-Radweges sowie dessen Anbindung an das LWL-Industriemuseum </w:t>
      </w:r>
      <w:proofErr w:type="spellStart"/>
      <w:r w:rsidRPr="00FF34C7">
        <w:rPr>
          <w:rFonts w:eastAsia="Arial" w:cs="Times New Roman"/>
        </w:rPr>
        <w:t>Henrichshütte</w:t>
      </w:r>
      <w:proofErr w:type="spellEnd"/>
      <w:r w:rsidRPr="00FF34C7">
        <w:rPr>
          <w:rFonts w:eastAsia="Arial" w:cs="Times New Roman"/>
        </w:rPr>
        <w:t>. Eine umfassende ökologische Aufwertung und Extensivierung von Freiflächen ist in Zusammenarbeit mit dem RVR als Flächeneigentümer vorgesehen. So stehen etwa uferbegleitende Baumpflanzungen und Aufforstungen sowie die Gestaltung einer naturnahen Promenade mit Aufenthaltsbereichen an. Als Kernstück des Projekts ist eine Fuß- und Radwegebrücke – als landschaftsgestalterisch hochwertige Verbindung – zwischen Altstadt, Ruhrtal-Radweg sowie den nördlichen Stadtteilen und der Stadt Bochum geplant. Denn neben lokalen birgt die Ruhrpromenade Winz-Baak auch regionale Potenziale: Das Projekt wurde im Rahmen der Kooperationsgemeinschaft Flusslandschaft Mittleres Ruhrtal gemeinsam mit den Nachbarstädten Hagen, Herdecke, Wetter (Ruhr) und Witten entwickelt.</w:t>
      </w:r>
    </w:p>
    <w:p w14:paraId="0DBFDD94" w14:textId="77777777" w:rsidR="00FF34C7" w:rsidRDefault="00FF34C7" w:rsidP="00FF34C7">
      <w:pPr>
        <w:spacing w:after="0" w:line="240" w:lineRule="auto"/>
        <w:rPr>
          <w:rFonts w:eastAsia="Arial" w:cs="Times New Roman"/>
        </w:rPr>
      </w:pPr>
    </w:p>
    <w:p w14:paraId="0EC85C19" w14:textId="77777777" w:rsidR="00BD7532" w:rsidRPr="00FF34C7" w:rsidRDefault="00BD7532" w:rsidP="00FF34C7">
      <w:pPr>
        <w:spacing w:after="0" w:line="240" w:lineRule="auto"/>
        <w:rPr>
          <w:rFonts w:eastAsia="Arial" w:cs="Times New Roman"/>
        </w:rPr>
      </w:pPr>
    </w:p>
    <w:p w14:paraId="14A43FAC" w14:textId="5E9A5E23" w:rsidR="00FF34C7" w:rsidRPr="00357A37" w:rsidRDefault="008C7BA3" w:rsidP="00FF34C7">
      <w:pPr>
        <w:spacing w:after="0" w:line="240" w:lineRule="auto"/>
        <w:rPr>
          <w:rFonts w:eastAsia="Arial" w:cs="Times New Roman"/>
          <w:b/>
          <w:bCs/>
          <w:sz w:val="32"/>
          <w:szCs w:val="32"/>
        </w:rPr>
      </w:pPr>
      <w:r w:rsidRPr="00357A37">
        <w:rPr>
          <w:rFonts w:eastAsia="Arial" w:cs="Times New Roman"/>
          <w:b/>
          <w:bCs/>
          <w:sz w:val="32"/>
          <w:szCs w:val="32"/>
        </w:rPr>
        <w:t>I</w:t>
      </w:r>
      <w:r w:rsidR="00BD7532" w:rsidRPr="00357A37">
        <w:rPr>
          <w:rFonts w:eastAsia="Arial" w:cs="Times New Roman"/>
          <w:b/>
          <w:bCs/>
          <w:sz w:val="32"/>
          <w:szCs w:val="32"/>
        </w:rPr>
        <w:t xml:space="preserve">nszenierung Absturzbauwerk Emscher – EGLV: </w:t>
      </w:r>
    </w:p>
    <w:p w14:paraId="004925FD" w14:textId="77777777" w:rsidR="008C7BA3" w:rsidRDefault="008C7BA3" w:rsidP="00FF34C7">
      <w:pPr>
        <w:spacing w:after="0" w:line="240" w:lineRule="auto"/>
        <w:rPr>
          <w:rFonts w:eastAsia="Arial" w:cs="Times New Roman"/>
        </w:rPr>
      </w:pPr>
    </w:p>
    <w:p w14:paraId="7C2B7934" w14:textId="504DC0C9" w:rsidR="00FF34C7" w:rsidRPr="00FF34C7" w:rsidRDefault="00FF34C7" w:rsidP="00FF34C7">
      <w:pPr>
        <w:spacing w:after="0" w:line="240" w:lineRule="auto"/>
        <w:rPr>
          <w:rFonts w:eastAsia="Arial" w:cs="Times New Roman"/>
        </w:rPr>
      </w:pPr>
      <w:r w:rsidRPr="00FF34C7">
        <w:rPr>
          <w:rFonts w:eastAsia="Arial" w:cs="Times New Roman"/>
        </w:rPr>
        <w:t>Am 9. November 2022 wurde mit der feierlichen Flutung des neu modellierten Emscher-Laufs in Dinslaken/Voerde ein wichtiger Schritt vollzogen: die Nordverlegung der Emscher-Mündung. Diese wurde zuvor über ein Absturz</w:t>
      </w:r>
      <w:r w:rsidR="00DE2BA4">
        <w:rPr>
          <w:rFonts w:eastAsia="Arial" w:cs="Times New Roman"/>
        </w:rPr>
        <w:t>bau</w:t>
      </w:r>
      <w:r w:rsidRPr="00FF34C7">
        <w:rPr>
          <w:rFonts w:eastAsia="Arial" w:cs="Times New Roman"/>
        </w:rPr>
        <w:t>werk in den Rhein geleitet, das als sechs</w:t>
      </w:r>
      <w:r w:rsidR="00DE2BA4">
        <w:rPr>
          <w:rFonts w:eastAsia="Arial" w:cs="Times New Roman"/>
        </w:rPr>
        <w:t xml:space="preserve"> M</w:t>
      </w:r>
      <w:r w:rsidRPr="00FF34C7">
        <w:rPr>
          <w:rFonts w:eastAsia="Arial" w:cs="Times New Roman"/>
        </w:rPr>
        <w:t>eter</w:t>
      </w:r>
      <w:r w:rsidR="00DE2BA4">
        <w:rPr>
          <w:rFonts w:eastAsia="Arial" w:cs="Times New Roman"/>
        </w:rPr>
        <w:t xml:space="preserve"> </w:t>
      </w:r>
      <w:r w:rsidRPr="00FF34C7">
        <w:rPr>
          <w:rFonts w:eastAsia="Arial" w:cs="Times New Roman"/>
        </w:rPr>
        <w:t xml:space="preserve">hohe ökologische Barriere erhalten bleibt, um die Eingriffe der Industrialisierung in die Natur sichtbar zu machen. Im Rahmen des IGA-Jahres ist eine künstlerische Inszenierung des Bauwerks geplant, ergänzt durch dauerhafte Informationstafeln. Der Hof </w:t>
      </w:r>
      <w:proofErr w:type="spellStart"/>
      <w:r w:rsidRPr="00FF34C7">
        <w:rPr>
          <w:rFonts w:eastAsia="Arial" w:cs="Times New Roman"/>
        </w:rPr>
        <w:t>Emschermündung</w:t>
      </w:r>
      <w:proofErr w:type="spellEnd"/>
      <w:r w:rsidRPr="00FF34C7">
        <w:rPr>
          <w:rFonts w:eastAsia="Arial" w:cs="Times New Roman"/>
        </w:rPr>
        <w:t xml:space="preserve"> soll zu einem Informations- und Umweltbildungsort für Wasser und Landschaft sowie den Emscher-Umbau ausgebaut werden. Dieser Lernort bietet bereits mehrere von der UNESCO ausgezeichnete Initiativen und wird künftig durch einen digitalen Kiosk ergänzt, der Besucher*innen über aktuelle Projekte und Veranstaltungen informiert. Die künstlerische Inszenierung soll sowohl technische Errungenschaften als auch deren ökologische Folgen thematisieren. </w:t>
      </w:r>
    </w:p>
    <w:p w14:paraId="273728BB" w14:textId="77777777" w:rsidR="002703B4" w:rsidRDefault="002703B4" w:rsidP="00FF34C7">
      <w:pPr>
        <w:spacing w:after="0" w:line="240" w:lineRule="auto"/>
        <w:rPr>
          <w:rFonts w:eastAsia="Arial" w:cs="Times New Roman"/>
          <w:b/>
          <w:bCs/>
        </w:rPr>
      </w:pPr>
    </w:p>
    <w:p w14:paraId="25CD38B8" w14:textId="551F2765" w:rsidR="00FF34C7" w:rsidRPr="00357A37" w:rsidRDefault="00FF34C7" w:rsidP="00FF34C7">
      <w:pPr>
        <w:spacing w:after="0" w:line="240" w:lineRule="auto"/>
        <w:rPr>
          <w:rFonts w:eastAsia="Arial" w:cs="Times New Roman"/>
          <w:b/>
          <w:bCs/>
          <w:sz w:val="32"/>
          <w:szCs w:val="32"/>
        </w:rPr>
      </w:pPr>
      <w:r w:rsidRPr="00357A37">
        <w:rPr>
          <w:rFonts w:eastAsia="Arial" w:cs="Times New Roman"/>
          <w:b/>
          <w:bCs/>
          <w:sz w:val="32"/>
          <w:szCs w:val="32"/>
        </w:rPr>
        <w:t xml:space="preserve">Kanaluferpark </w:t>
      </w:r>
      <w:proofErr w:type="spellStart"/>
      <w:r w:rsidRPr="00357A37">
        <w:rPr>
          <w:rFonts w:eastAsia="Arial" w:cs="Times New Roman"/>
          <w:b/>
          <w:bCs/>
          <w:sz w:val="32"/>
          <w:szCs w:val="32"/>
        </w:rPr>
        <w:t>Schurenbachhalde</w:t>
      </w:r>
      <w:proofErr w:type="spellEnd"/>
      <w:r w:rsidRPr="00357A37">
        <w:rPr>
          <w:rFonts w:eastAsia="Arial" w:cs="Times New Roman"/>
          <w:b/>
          <w:bCs/>
          <w:sz w:val="32"/>
          <w:szCs w:val="32"/>
        </w:rPr>
        <w:t xml:space="preserve"> – Stadt Essen:</w:t>
      </w:r>
    </w:p>
    <w:p w14:paraId="7127762C" w14:textId="77777777" w:rsidR="00357A37" w:rsidRDefault="00357A37" w:rsidP="00FF34C7">
      <w:pPr>
        <w:autoSpaceDE w:val="0"/>
        <w:autoSpaceDN w:val="0"/>
        <w:adjustRightInd w:val="0"/>
        <w:spacing w:after="0" w:line="240" w:lineRule="auto"/>
        <w:rPr>
          <w:rFonts w:eastAsia="Arial" w:cs="Times New Roman"/>
        </w:rPr>
      </w:pPr>
    </w:p>
    <w:p w14:paraId="4D05C189" w14:textId="6EE56382" w:rsidR="00FF34C7" w:rsidRPr="00FF34C7" w:rsidRDefault="00FF34C7" w:rsidP="00FF34C7">
      <w:pPr>
        <w:autoSpaceDE w:val="0"/>
        <w:autoSpaceDN w:val="0"/>
        <w:adjustRightInd w:val="0"/>
        <w:spacing w:after="0" w:line="240" w:lineRule="auto"/>
        <w:rPr>
          <w:rFonts w:eastAsia="Arial" w:cs="Times New Roman"/>
        </w:rPr>
      </w:pPr>
      <w:r w:rsidRPr="00FF34C7">
        <w:rPr>
          <w:rFonts w:eastAsia="Arial" w:cs="Times New Roman"/>
        </w:rPr>
        <w:lastRenderedPageBreak/>
        <w:t xml:space="preserve">Der Kanaluferpark an der </w:t>
      </w:r>
      <w:proofErr w:type="spellStart"/>
      <w:r w:rsidRPr="00FF34C7">
        <w:rPr>
          <w:rFonts w:eastAsia="Arial" w:cs="Times New Roman"/>
        </w:rPr>
        <w:t>Schurenbachhalde</w:t>
      </w:r>
      <w:proofErr w:type="spellEnd"/>
      <w:r w:rsidRPr="00FF34C7">
        <w:rPr>
          <w:rFonts w:eastAsia="Arial" w:cs="Times New Roman"/>
        </w:rPr>
        <w:t xml:space="preserve"> ist ein Modellprojekt, das Nahmobilität und Artenschutz gleichermaßen verbindet. Eine ehemalige Bahntrasse wird zu einer attraktiven Geh- und Radwegeverbindung mit Aufenthaltsplätzen umgestaltet, während gleichzeitig Lebensräume für die geschützte Kreuzkröte entstehen und ihr Vorkommen für Besucher*innen erlebbar gemacht wird. So entsteht ein multifunktionaler Erholungsraum, der industrielle Vergangenheit, Natur und Freizeit miteinander verknüpft. </w:t>
      </w:r>
    </w:p>
    <w:p w14:paraId="70DE84AD" w14:textId="77777777" w:rsidR="00FF34C7" w:rsidRPr="00FF34C7" w:rsidRDefault="00FF34C7" w:rsidP="00FF34C7">
      <w:pPr>
        <w:autoSpaceDE w:val="0"/>
        <w:autoSpaceDN w:val="0"/>
        <w:adjustRightInd w:val="0"/>
        <w:spacing w:after="0" w:line="240" w:lineRule="auto"/>
        <w:rPr>
          <w:rFonts w:eastAsia="Arial" w:cs="Times New Roman"/>
        </w:rPr>
      </w:pPr>
    </w:p>
    <w:p w14:paraId="3A09A6B5" w14:textId="77777777" w:rsidR="00431FF2" w:rsidRDefault="00431FF2"/>
    <w:sectPr w:rsidR="00431FF2" w:rsidSect="00FF34C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B6110" w14:textId="77777777" w:rsidR="003425D0" w:rsidRDefault="003425D0" w:rsidP="00FF34C7">
      <w:pPr>
        <w:spacing w:after="0" w:line="240" w:lineRule="auto"/>
      </w:pPr>
      <w:r>
        <w:separator/>
      </w:r>
    </w:p>
  </w:endnote>
  <w:endnote w:type="continuationSeparator" w:id="0">
    <w:p w14:paraId="39F729B7" w14:textId="77777777" w:rsidR="003425D0" w:rsidRDefault="003425D0" w:rsidP="00FF3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AAC1" w14:textId="77777777" w:rsidR="00CF7D4E" w:rsidRDefault="00CF7D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797431"/>
      <w:docPartObj>
        <w:docPartGallery w:val="Page Numbers (Bottom of Page)"/>
        <w:docPartUnique/>
      </w:docPartObj>
    </w:sdtPr>
    <w:sdtEndPr/>
    <w:sdtContent>
      <w:p w14:paraId="60951945" w14:textId="3A71FF67" w:rsidR="00CF7D4E" w:rsidRDefault="00CF7D4E">
        <w:pPr>
          <w:pStyle w:val="Fuzeile"/>
          <w:jc w:val="right"/>
        </w:pPr>
        <w:r>
          <w:fldChar w:fldCharType="begin"/>
        </w:r>
        <w:r>
          <w:instrText>PAGE   \* MERGEFORMAT</w:instrText>
        </w:r>
        <w:r>
          <w:fldChar w:fldCharType="separate"/>
        </w:r>
        <w:r>
          <w:t>2</w:t>
        </w:r>
        <w:r>
          <w:fldChar w:fldCharType="end"/>
        </w:r>
      </w:p>
    </w:sdtContent>
  </w:sdt>
  <w:p w14:paraId="59783351" w14:textId="77777777" w:rsidR="00CF7D4E" w:rsidRDefault="00CF7D4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9A09" w14:textId="77777777" w:rsidR="00CF7D4E" w:rsidRDefault="00CF7D4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236C" w14:textId="77777777" w:rsidR="003425D0" w:rsidRDefault="003425D0" w:rsidP="00FF34C7">
      <w:pPr>
        <w:spacing w:after="0" w:line="240" w:lineRule="auto"/>
      </w:pPr>
      <w:r>
        <w:separator/>
      </w:r>
    </w:p>
  </w:footnote>
  <w:footnote w:type="continuationSeparator" w:id="0">
    <w:p w14:paraId="7EC08DDC" w14:textId="77777777" w:rsidR="003425D0" w:rsidRDefault="003425D0" w:rsidP="00FF3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43C6" w14:textId="77777777" w:rsidR="00CF7D4E" w:rsidRDefault="00CF7D4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F8B1" w14:textId="232C3173" w:rsidR="00FF34C7" w:rsidRDefault="00FF34C7">
    <w:pPr>
      <w:pStyle w:val="Kopfzeile"/>
    </w:pPr>
    <w:r w:rsidRPr="002F1EFB">
      <w:rPr>
        <w:rFonts w:ascii="Arial" w:eastAsia="Arial" w:hAnsi="Arial" w:cs="Times New Roman"/>
        <w:noProof/>
      </w:rPr>
      <w:drawing>
        <wp:inline distT="0" distB="0" distL="0" distR="0" wp14:anchorId="2AA79547" wp14:editId="7A169A95">
          <wp:extent cx="3218591" cy="1036320"/>
          <wp:effectExtent l="0" t="0" r="1270" b="0"/>
          <wp:docPr id="9" name="Grafik 8" descr="Ein Bild, das Text, Schrift, Screenshot, Grafiken enthält.&#10;&#10;KI-generierte Inhalte können fehlerhaft sein.">
            <a:extLst xmlns:a="http://schemas.openxmlformats.org/drawingml/2006/main">
              <a:ext uri="{FF2B5EF4-FFF2-40B4-BE49-F238E27FC236}">
                <a16:creationId xmlns:a16="http://schemas.microsoft.com/office/drawing/2014/main" id="{57C7576C-9184-0A04-F51E-62AEC5A502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descr="Ein Bild, das Text, Schrift, Screenshot, Grafiken enthält.&#10;&#10;KI-generierte Inhalte können fehlerhaft sein.">
                    <a:extLst>
                      <a:ext uri="{FF2B5EF4-FFF2-40B4-BE49-F238E27FC236}">
                        <a16:creationId xmlns:a16="http://schemas.microsoft.com/office/drawing/2014/main" id="{57C7576C-9184-0A04-F51E-62AEC5A50278}"/>
                      </a:ext>
                    </a:extLst>
                  </pic:cNvPr>
                  <pic:cNvPicPr>
                    <a:picLocks noChangeAspect="1"/>
                  </pic:cNvPicPr>
                </pic:nvPicPr>
                <pic:blipFill>
                  <a:blip r:embed="rId1"/>
                  <a:stretch>
                    <a:fillRect/>
                  </a:stretch>
                </pic:blipFill>
                <pic:spPr>
                  <a:xfrm>
                    <a:off x="0" y="0"/>
                    <a:ext cx="3364229" cy="1083212"/>
                  </a:xfrm>
                  <a:prstGeom prst="rect">
                    <a:avLst/>
                  </a:prstGeom>
                </pic:spPr>
              </pic:pic>
            </a:graphicData>
          </a:graphic>
        </wp:inline>
      </w:drawing>
    </w:r>
  </w:p>
  <w:p w14:paraId="341BF21B" w14:textId="77777777" w:rsidR="00FF34C7" w:rsidRDefault="00FF34C7">
    <w:pPr>
      <w:pStyle w:val="Kopfzeile"/>
    </w:pPr>
  </w:p>
  <w:p w14:paraId="41D6C997" w14:textId="77777777" w:rsidR="00FF34C7" w:rsidRDefault="00FF34C7">
    <w:pPr>
      <w:pStyle w:val="Kopfzeile"/>
    </w:pPr>
  </w:p>
  <w:p w14:paraId="2213BE83" w14:textId="77777777" w:rsidR="00FF34C7" w:rsidRDefault="00FF34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5BFE" w14:textId="77777777" w:rsidR="00CF7D4E" w:rsidRDefault="00CF7D4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1EFD"/>
    <w:multiLevelType w:val="hybridMultilevel"/>
    <w:tmpl w:val="C8F292C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D83BA5"/>
    <w:multiLevelType w:val="hybridMultilevel"/>
    <w:tmpl w:val="C8482C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8C26A6"/>
    <w:multiLevelType w:val="hybridMultilevel"/>
    <w:tmpl w:val="DD1C34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6134F2"/>
    <w:multiLevelType w:val="hybridMultilevel"/>
    <w:tmpl w:val="BC14BF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457699"/>
    <w:multiLevelType w:val="hybridMultilevel"/>
    <w:tmpl w:val="4C90A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122718">
    <w:abstractNumId w:val="1"/>
  </w:num>
  <w:num w:numId="2" w16cid:durableId="815682292">
    <w:abstractNumId w:val="3"/>
  </w:num>
  <w:num w:numId="3" w16cid:durableId="1646082905">
    <w:abstractNumId w:val="4"/>
  </w:num>
  <w:num w:numId="4" w16cid:durableId="182213211">
    <w:abstractNumId w:val="2"/>
  </w:num>
  <w:num w:numId="5" w16cid:durableId="203916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C7"/>
    <w:rsid w:val="000C1EA9"/>
    <w:rsid w:val="00184F54"/>
    <w:rsid w:val="002703B4"/>
    <w:rsid w:val="00270CB2"/>
    <w:rsid w:val="003425D0"/>
    <w:rsid w:val="0035648F"/>
    <w:rsid w:val="00357A37"/>
    <w:rsid w:val="0037030F"/>
    <w:rsid w:val="003A620C"/>
    <w:rsid w:val="00431FF2"/>
    <w:rsid w:val="00467E07"/>
    <w:rsid w:val="004F5A97"/>
    <w:rsid w:val="007B50BB"/>
    <w:rsid w:val="008C7BA3"/>
    <w:rsid w:val="009A6063"/>
    <w:rsid w:val="009C0877"/>
    <w:rsid w:val="00BD7532"/>
    <w:rsid w:val="00C8350E"/>
    <w:rsid w:val="00CF7D4E"/>
    <w:rsid w:val="00DE2BA4"/>
    <w:rsid w:val="00FF34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0E8B"/>
  <w15:chartTrackingRefBased/>
  <w15:docId w15:val="{DEB9D332-C730-41DB-9E56-C3477DAF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F3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F3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F34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F34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F34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F34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F34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F34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F34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F34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F34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F34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F34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F34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F34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F34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F34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F34C7"/>
    <w:rPr>
      <w:rFonts w:eastAsiaTheme="majorEastAsia" w:cstheme="majorBidi"/>
      <w:color w:val="272727" w:themeColor="text1" w:themeTint="D8"/>
    </w:rPr>
  </w:style>
  <w:style w:type="paragraph" w:styleId="Titel">
    <w:name w:val="Title"/>
    <w:basedOn w:val="Standard"/>
    <w:next w:val="Standard"/>
    <w:link w:val="TitelZchn"/>
    <w:uiPriority w:val="10"/>
    <w:qFormat/>
    <w:rsid w:val="00FF3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F34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F34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F34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F34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F34C7"/>
    <w:rPr>
      <w:i/>
      <w:iCs/>
      <w:color w:val="404040" w:themeColor="text1" w:themeTint="BF"/>
    </w:rPr>
  </w:style>
  <w:style w:type="paragraph" w:styleId="Listenabsatz">
    <w:name w:val="List Paragraph"/>
    <w:basedOn w:val="Standard"/>
    <w:uiPriority w:val="34"/>
    <w:qFormat/>
    <w:rsid w:val="00FF34C7"/>
    <w:pPr>
      <w:ind w:left="720"/>
      <w:contextualSpacing/>
    </w:pPr>
  </w:style>
  <w:style w:type="character" w:styleId="IntensiveHervorhebung">
    <w:name w:val="Intense Emphasis"/>
    <w:basedOn w:val="Absatz-Standardschriftart"/>
    <w:uiPriority w:val="21"/>
    <w:qFormat/>
    <w:rsid w:val="00FF34C7"/>
    <w:rPr>
      <w:i/>
      <w:iCs/>
      <w:color w:val="0F4761" w:themeColor="accent1" w:themeShade="BF"/>
    </w:rPr>
  </w:style>
  <w:style w:type="paragraph" w:styleId="IntensivesZitat">
    <w:name w:val="Intense Quote"/>
    <w:basedOn w:val="Standard"/>
    <w:next w:val="Standard"/>
    <w:link w:val="IntensivesZitatZchn"/>
    <w:uiPriority w:val="30"/>
    <w:qFormat/>
    <w:rsid w:val="00FF3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F34C7"/>
    <w:rPr>
      <w:i/>
      <w:iCs/>
      <w:color w:val="0F4761" w:themeColor="accent1" w:themeShade="BF"/>
    </w:rPr>
  </w:style>
  <w:style w:type="character" w:styleId="IntensiverVerweis">
    <w:name w:val="Intense Reference"/>
    <w:basedOn w:val="Absatz-Standardschriftart"/>
    <w:uiPriority w:val="32"/>
    <w:qFormat/>
    <w:rsid w:val="00FF34C7"/>
    <w:rPr>
      <w:b/>
      <w:bCs/>
      <w:smallCaps/>
      <w:color w:val="0F4761" w:themeColor="accent1" w:themeShade="BF"/>
      <w:spacing w:val="5"/>
    </w:rPr>
  </w:style>
  <w:style w:type="paragraph" w:styleId="Kopfzeile">
    <w:name w:val="header"/>
    <w:basedOn w:val="Standard"/>
    <w:link w:val="KopfzeileZchn"/>
    <w:uiPriority w:val="99"/>
    <w:unhideWhenUsed/>
    <w:rsid w:val="00FF34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34C7"/>
  </w:style>
  <w:style w:type="paragraph" w:styleId="Fuzeile">
    <w:name w:val="footer"/>
    <w:basedOn w:val="Standard"/>
    <w:link w:val="FuzeileZchn"/>
    <w:uiPriority w:val="99"/>
    <w:unhideWhenUsed/>
    <w:rsid w:val="00FF34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3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4850</Characters>
  <Application>Microsoft Office Word</Application>
  <DocSecurity>0</DocSecurity>
  <Lines>40</Lines>
  <Paragraphs>11</Paragraphs>
  <ScaleCrop>false</ScaleCrop>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Weichelt</dc:creator>
  <cp:keywords/>
  <dc:description/>
  <cp:lastModifiedBy>Toussaint, Susanne</cp:lastModifiedBy>
  <cp:revision>2</cp:revision>
  <cp:lastPrinted>2026-09-02T16:43:00Z</cp:lastPrinted>
  <dcterms:created xsi:type="dcterms:W3CDTF">2026-09-07T06:13:00Z</dcterms:created>
  <dcterms:modified xsi:type="dcterms:W3CDTF">2026-09-07T06:13:00Z</dcterms:modified>
</cp:coreProperties>
</file>