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left"/>
        <w:rPr>
          <w:rFonts w:cs="Arial"/>
          <w:sz w:val="20"/>
        </w:rPr>
      </w:pPr>
      <w:r>
        <w:rPr>
          <w:rFonts w:cs="Arial"/>
          <w:sz w:val="20"/>
        </w:rPr>
        <w:t>Ludwigshafen, den 3. November 2026</w:t>
      </w:r>
      <w:r>
        <w:rPr>
          <w:rFonts w:cs="Arial"/>
          <w:sz w:val="20"/>
        </w:rPr>
        <w:br/>
      </w:r>
      <w:r>
        <w:rPr>
          <w:rFonts w:cs="Arial"/>
          <w:b/>
          <w:bCs/>
          <w:sz w:val="28"/>
          <w:szCs w:val="28"/>
        </w:rPr>
        <w:t>Für einen wettbewerbsfähigen Industriestandort: Mannheim und Ludwigshafen fordern Augenmaß bei Reform des Emissionshandels</w:t>
      </w:r>
    </w:p>
    <w:p>
      <w:pPr>
        <w:pStyle w:val="Standard1"/>
        <w:jc w:val="both"/>
        <w:rPr>
          <w:sz w:val="22"/>
          <w:szCs w:val="22"/>
        </w:rPr>
      </w:pPr>
      <w:r>
        <w:rPr>
          <w:sz w:val="22"/>
          <w:szCs w:val="22"/>
        </w:rPr>
        <w:t xml:space="preserve">In einem offenen Brief an die Abgeordneten des Europäischen Parlaments aus der Metropolregion Rhein-Neckar machen sich die Oberbürgermeister von Ludwigshafen und Mannheim, Prof. Dr. Klaus </w:t>
      </w:r>
      <w:proofErr w:type="spellStart"/>
      <w:r>
        <w:rPr>
          <w:sz w:val="22"/>
          <w:szCs w:val="22"/>
        </w:rPr>
        <w:t>Blettner</w:t>
      </w:r>
      <w:proofErr w:type="spellEnd"/>
      <w:r>
        <w:rPr>
          <w:sz w:val="22"/>
          <w:szCs w:val="22"/>
        </w:rPr>
        <w:t xml:space="preserve"> und Christian Specht, für einen auch zukünftig wettbewerbsfähigen Industriestandort stark. Die Stadtoberhäupter appellieren eindringlich an die Parlamentarier, die Perspektive der Industrieregionen und damit auch die der betroffenen Städte bei der anstehenden Reform des Europäischen Emissionshandels (EU ETS) einzubringen und Augenmaß zu halten: Wirksamer Klimaschutz müsse Hand in Hand gehen mit der Zukunftsfähigkeit der Industrie. Zudem gelte es, die besonderen Herausforderungen industriell geprägter Regionen zu berücksichtigen. </w:t>
      </w:r>
    </w:p>
    <w:p>
      <w:pPr>
        <w:pStyle w:val="Standard1"/>
        <w:jc w:val="both"/>
        <w:rPr>
          <w:sz w:val="22"/>
          <w:szCs w:val="22"/>
        </w:rPr>
      </w:pPr>
      <w:r>
        <w:rPr>
          <w:sz w:val="22"/>
          <w:szCs w:val="22"/>
        </w:rPr>
        <w:t>Kritisch sehen die Städte vor allem einen Punkt der geplanten Reform: Unternehmen sollen kostenlose Emissionszertifikate künftig nur noch vollständig erhalten, wenn sie innerhalb fester Fristen und in festgelegter Höhe in die CO</w:t>
      </w:r>
      <w:r>
        <w:rPr>
          <w:rFonts w:ascii="Cambria Math" w:hAnsi="Cambria Math" w:cs="Cambria Math"/>
          <w:sz w:val="22"/>
          <w:szCs w:val="22"/>
        </w:rPr>
        <w:t>₂</w:t>
      </w:r>
      <w:r>
        <w:rPr>
          <w:sz w:val="22"/>
          <w:szCs w:val="22"/>
        </w:rPr>
        <w:t>-Minderung investieren – unabhängig davon, ob wettbewerbsfähige Energie, die nötige Infrastruktur und ausgereifte Technologien überhaupt verfügbar sind. Die Unternehmen stünden damit vor einem Dilemma: Entweder sie tragen zusätzliche CO</w:t>
      </w:r>
      <w:r>
        <w:rPr>
          <w:rFonts w:ascii="Cambria Math" w:hAnsi="Cambria Math" w:cs="Cambria Math"/>
          <w:sz w:val="22"/>
          <w:szCs w:val="22"/>
        </w:rPr>
        <w:t>₂</w:t>
      </w:r>
      <w:r>
        <w:rPr>
          <w:sz w:val="22"/>
          <w:szCs w:val="22"/>
        </w:rPr>
        <w:t>-Kosten, denen Wettbewerber außerhalb Europas nicht in vergleichbarer Weise ausgesetzt sind, oder sie investieren in Projekte, die sich technisch oder wirtschaftlich noch nicht tragen.</w:t>
      </w:r>
    </w:p>
    <w:p>
      <w:pPr>
        <w:pStyle w:val="Standard1"/>
        <w:ind w:left="5664"/>
        <w:jc w:val="both"/>
        <w:rPr>
          <w:sz w:val="22"/>
          <w:szCs w:val="22"/>
        </w:rPr>
      </w:pPr>
      <w:r>
        <w:rPr>
          <w:sz w:val="22"/>
          <w:szCs w:val="22"/>
        </w:rPr>
        <w:t>/2</w:t>
      </w:r>
    </w:p>
    <w:p>
      <w:pPr>
        <w:pStyle w:val="Standard1"/>
        <w:ind w:left="3540" w:firstLine="708"/>
        <w:jc w:val="both"/>
        <w:rPr>
          <w:sz w:val="22"/>
          <w:szCs w:val="22"/>
        </w:rPr>
      </w:pPr>
      <w:r>
        <w:rPr>
          <w:sz w:val="22"/>
          <w:szCs w:val="22"/>
        </w:rPr>
        <w:lastRenderedPageBreak/>
        <w:t>- 2 -</w:t>
      </w:r>
    </w:p>
    <w:p>
      <w:pPr>
        <w:pStyle w:val="Standard1"/>
        <w:jc w:val="both"/>
        <w:rPr>
          <w:sz w:val="22"/>
          <w:szCs w:val="22"/>
        </w:rPr>
      </w:pPr>
      <w:r>
        <w:rPr>
          <w:sz w:val="22"/>
          <w:szCs w:val="22"/>
        </w:rPr>
        <w:t xml:space="preserve">Die Unternehmen der Metropolregion stehen nach den Worten der Oberbürgermeister zu den europäischen Klimazielen und haben die Transformation längst begonnen – mit erheblichen Investitionen in Elektrifizierung, erneuerbare Energien, Wasserstoff, Kreislaufwirtschaft und neue Produktionsverfahren. Gelingen könne sie aber nur, wenn die wirtschaftlichen Voraussetzungen dafür in Europa erhalten bleiben, betonen </w:t>
      </w:r>
      <w:proofErr w:type="spellStart"/>
      <w:r>
        <w:rPr>
          <w:sz w:val="22"/>
          <w:szCs w:val="22"/>
        </w:rPr>
        <w:t>Blettner</w:t>
      </w:r>
      <w:proofErr w:type="spellEnd"/>
      <w:r>
        <w:rPr>
          <w:sz w:val="22"/>
          <w:szCs w:val="22"/>
        </w:rPr>
        <w:t xml:space="preserve"> und Specht. Das bedeute, dass ein Instrument, das die hiesige Industrie im internationalen Wettbewerb schützen soll, nicht zur starren Investitionspflicht werden dürfe. Die kostenlose Zuteilung müsse als Schutz in ausreichendem Umfang erhalten bleiben – nur so bleibe Raum für Investitionen, die sich auch rechnen.</w:t>
      </w:r>
    </w:p>
    <w:p>
      <w:pPr>
        <w:pStyle w:val="Standard1"/>
        <w:jc w:val="both"/>
        <w:rPr>
          <w:sz w:val="22"/>
          <w:szCs w:val="22"/>
        </w:rPr>
      </w:pPr>
      <w:r>
        <w:rPr>
          <w:sz w:val="22"/>
          <w:szCs w:val="22"/>
        </w:rPr>
        <w:t>Dass sich die Oberbürgermeister beider Städte so deutlich für die energieintensive Industrie einsetzen, hat gute Gründe: Mannheim und Ludwigshafen bilden das industrielle Herz der Metropolregion Rhein-Neckar. Links und rechts des Rheins ist über Generationen ein eng verflochtenes industrielles Netz gewachsen, das weit über die Werkstore der Industrie hinausreicht – zu Zulieferern, Handwerksbetrieben, Logistik- und Dienstleistungsunternehmen. Die Industrie gilt als ein zentraler Motor ihrer Wirtschaftskraft. Davon profitiere die gesamte Region. Der erfolgreiche und nachhaltige Umbau der Industrie liege daher im ureigenen Interesse der Städte und ihrer Bürgerinnen und Bürger. Ein erheblicher Teil der Arbeitsplätze hänge unmittelbar oder mittelbar von einer starken Industrie ab. Für ihre Städte bedeute die Neuordnung in ihrer aktuell geplanten Form zudem sinkende Steuereinnahmen, die sie für Schulen und Kitas, die Gesundheitsversorgung sowie die Sanierung von Brücken und Straßen dringend benötigten. Einmal verlorene industrielle Strukturen ließen sich kaum zurückholen.</w:t>
      </w:r>
    </w:p>
    <w:p>
      <w:pPr>
        <w:pStyle w:val="Standard1"/>
        <w:ind w:left="5664"/>
        <w:jc w:val="both"/>
        <w:rPr>
          <w:sz w:val="22"/>
          <w:szCs w:val="22"/>
        </w:rPr>
      </w:pPr>
      <w:r>
        <w:rPr>
          <w:sz w:val="22"/>
          <w:szCs w:val="22"/>
        </w:rPr>
        <w:t>/3</w:t>
      </w:r>
    </w:p>
    <w:p>
      <w:pPr>
        <w:pStyle w:val="Standard1"/>
        <w:ind w:left="3540" w:firstLine="708"/>
        <w:jc w:val="both"/>
        <w:rPr>
          <w:sz w:val="22"/>
          <w:szCs w:val="22"/>
        </w:rPr>
      </w:pPr>
      <w:r>
        <w:rPr>
          <w:sz w:val="22"/>
          <w:szCs w:val="22"/>
        </w:rPr>
        <w:lastRenderedPageBreak/>
        <w:t>- 3 -</w:t>
      </w:r>
    </w:p>
    <w:p>
      <w:pPr>
        <w:pStyle w:val="Standard1"/>
        <w:spacing w:after="0"/>
        <w:jc w:val="both"/>
        <w:rPr>
          <w:b/>
          <w:bCs/>
          <w:sz w:val="22"/>
          <w:szCs w:val="22"/>
        </w:rPr>
      </w:pPr>
      <w:r>
        <w:rPr>
          <w:b/>
          <w:bCs/>
          <w:sz w:val="22"/>
          <w:szCs w:val="22"/>
        </w:rPr>
        <w:t>Für Klimaschutz und starke industrielle Basis</w:t>
      </w:r>
    </w:p>
    <w:p>
      <w:pPr>
        <w:pStyle w:val="Standard1"/>
        <w:spacing w:after="0"/>
        <w:jc w:val="both"/>
        <w:rPr>
          <w:sz w:val="22"/>
          <w:szCs w:val="22"/>
        </w:rPr>
      </w:pPr>
      <w:r>
        <w:rPr>
          <w:sz w:val="22"/>
          <w:szCs w:val="22"/>
        </w:rPr>
        <w:t>"Europa braucht wirksamen Klimaschutz und eine starke indus-</w:t>
      </w:r>
      <w:proofErr w:type="spellStart"/>
      <w:r>
        <w:rPr>
          <w:sz w:val="22"/>
          <w:szCs w:val="22"/>
        </w:rPr>
        <w:t>trielle</w:t>
      </w:r>
      <w:proofErr w:type="spellEnd"/>
      <w:r>
        <w:rPr>
          <w:sz w:val="22"/>
          <w:szCs w:val="22"/>
        </w:rPr>
        <w:t xml:space="preserve"> Basis. Beides darf nicht gegeneinander ausgespielt werden. Die Transformation gelingt nur, wenn die Produktion klimaneutral wird und zugleich in Europa bleibt. Mannheim und </w:t>
      </w:r>
      <w:r>
        <w:rPr>
          <w:sz w:val="22"/>
          <w:szCs w:val="22"/>
        </w:rPr>
        <w:br/>
        <w:t xml:space="preserve">Ludwigshafen stehen gemeinsam mit der Metropolregion Rhein-Neckar für diesen Weg", betonen </w:t>
      </w:r>
      <w:proofErr w:type="spellStart"/>
      <w:r>
        <w:rPr>
          <w:sz w:val="22"/>
          <w:szCs w:val="22"/>
        </w:rPr>
        <w:t>Blettner</w:t>
      </w:r>
      <w:proofErr w:type="spellEnd"/>
      <w:r>
        <w:rPr>
          <w:sz w:val="22"/>
          <w:szCs w:val="22"/>
        </w:rPr>
        <w:t xml:space="preserve"> und Specht, der auch Vorsitzender des Verbands Region Rhein-Neckar ist. Die Städte würdigen, dass die Unternehmen diesen Umbau bereits aktiv vorantreiben und gezielt in ihre Zukunft investieren – etwa in Elek-</w:t>
      </w:r>
      <w:proofErr w:type="spellStart"/>
      <w:r>
        <w:rPr>
          <w:sz w:val="22"/>
          <w:szCs w:val="22"/>
        </w:rPr>
        <w:t>trifizierung</w:t>
      </w:r>
      <w:proofErr w:type="spellEnd"/>
      <w:r>
        <w:rPr>
          <w:sz w:val="22"/>
          <w:szCs w:val="22"/>
        </w:rPr>
        <w:t xml:space="preserve">, erneuerbare Energien, Wasserstoff, Kreislaufwirtschaft und neue Produktionsverfahren. </w:t>
      </w:r>
    </w:p>
    <w:p>
      <w:pPr>
        <w:pStyle w:val="Standard1"/>
        <w:jc w:val="both"/>
        <w:rPr>
          <w:sz w:val="22"/>
          <w:szCs w:val="22"/>
        </w:rPr>
      </w:pPr>
      <w:r>
        <w:rPr>
          <w:sz w:val="22"/>
          <w:szCs w:val="22"/>
        </w:rPr>
        <w:t>Diese Investitionen werden aus Sicht der beiden Städte weitergehen und sind Voraussetzung für die Transformation zu einer klimaneutralen Wirtschaft. Entscheidend sei jedoch, dass Unternehmen auch künftig Art, Umfang und Zeitpunkt ihrer Investitionen an den jeweiligen Standortbedingungen und der wirtschaftlichen Tragfähigkeit ausrichten können. Dazu gehören bei Bedarf auch Investitionen in Sicherheit, Instandhaltung oder Infrastruktur. Solche Ausgaben seien für den Erhalt und die Zukunftsfähigkeit eines Standorts unverzichtbar. Eine feste Vorgabe, wofür und in welchem Umfang investiert werden muss, würde diesen notwendigen Spielraum einschränken.</w:t>
      </w:r>
    </w:p>
    <w:p>
      <w:pPr>
        <w:pStyle w:val="Standard1"/>
        <w:jc w:val="both"/>
        <w:rPr>
          <w:b/>
          <w:bCs/>
          <w:sz w:val="22"/>
          <w:szCs w:val="22"/>
        </w:rPr>
      </w:pPr>
      <w:r>
        <w:rPr>
          <w:b/>
          <w:bCs/>
          <w:sz w:val="22"/>
          <w:szCs w:val="22"/>
        </w:rPr>
        <w:t>Der offene Brief im Wortlaut:</w:t>
      </w:r>
    </w:p>
    <w:p>
      <w:pPr>
        <w:pStyle w:val="Standard1"/>
        <w:jc w:val="both"/>
        <w:rPr>
          <w:sz w:val="22"/>
          <w:szCs w:val="22"/>
        </w:rPr>
      </w:pPr>
      <w:r>
        <w:rPr>
          <w:sz w:val="22"/>
          <w:szCs w:val="22"/>
        </w:rPr>
        <w:t>Für eine wettbewerbsfähige Industrie in Europa: ETS-Reform mit Augenmaß gestalten.</w:t>
      </w:r>
    </w:p>
    <w:p>
      <w:pPr>
        <w:pStyle w:val="Standard1"/>
        <w:jc w:val="both"/>
        <w:rPr>
          <w:sz w:val="22"/>
          <w:szCs w:val="22"/>
        </w:rPr>
      </w:pPr>
      <w:r>
        <w:rPr>
          <w:i/>
          <w:iCs/>
          <w:sz w:val="22"/>
          <w:szCs w:val="22"/>
        </w:rPr>
        <w:t>Anrede</w:t>
      </w:r>
    </w:p>
    <w:p>
      <w:pPr>
        <w:pStyle w:val="Standard1"/>
        <w:ind w:left="5664"/>
        <w:jc w:val="both"/>
        <w:rPr>
          <w:sz w:val="22"/>
          <w:szCs w:val="22"/>
        </w:rPr>
      </w:pPr>
      <w:r>
        <w:rPr>
          <w:sz w:val="22"/>
          <w:szCs w:val="22"/>
        </w:rPr>
        <w:t>/4</w:t>
      </w:r>
    </w:p>
    <w:p>
      <w:pPr>
        <w:pStyle w:val="Standard1"/>
        <w:ind w:left="3540" w:firstLine="708"/>
        <w:jc w:val="both"/>
        <w:rPr>
          <w:sz w:val="22"/>
          <w:szCs w:val="22"/>
        </w:rPr>
      </w:pPr>
      <w:r>
        <w:rPr>
          <w:sz w:val="22"/>
          <w:szCs w:val="22"/>
        </w:rPr>
        <w:lastRenderedPageBreak/>
        <w:t>- 4 -</w:t>
      </w:r>
    </w:p>
    <w:p>
      <w:pPr>
        <w:pStyle w:val="Standard1"/>
        <w:jc w:val="both"/>
        <w:rPr>
          <w:sz w:val="22"/>
          <w:szCs w:val="22"/>
        </w:rPr>
      </w:pPr>
      <w:r>
        <w:rPr>
          <w:sz w:val="22"/>
          <w:szCs w:val="22"/>
        </w:rPr>
        <w:t>Die Städte Mannheim und Ludwigshafen bilden das industrielle Herz der Metropolregion Rhein-Neckar, einer der wirtschaftsstärksten Regionen Europas. Links und rechts des Rheins ist hier über Generationen ein eng verflochtenes industrielles Ökosystem gewachsen. Ein erheblicher Teil der Arbeitsplätze hängt unmittelbar oder mittelbar von einer starken energieintensiven Industrie ab.</w:t>
      </w:r>
    </w:p>
    <w:p>
      <w:pPr>
        <w:pStyle w:val="Standard1"/>
        <w:jc w:val="both"/>
        <w:rPr>
          <w:sz w:val="22"/>
          <w:szCs w:val="22"/>
        </w:rPr>
      </w:pPr>
      <w:r>
        <w:rPr>
          <w:sz w:val="22"/>
          <w:szCs w:val="22"/>
        </w:rPr>
        <w:t xml:space="preserve">Die Unternehmen unserer Region stehen zu den europäischen Klimazielen und haben die Transformation längst begonnen – mit erheblichen Investitionen in Elektrifizierung, erneuerbare Energien, Wasserstoff, Kreislaufwirtschaft und neue Produktionsverfahren. Gelingen kann sie aber nur, wenn die wirtschaftlichen </w:t>
      </w:r>
      <w:r>
        <w:rPr>
          <w:sz w:val="22"/>
          <w:szCs w:val="22"/>
        </w:rPr>
        <w:br/>
        <w:t>Voraussetzungen dafür in Europa erhalten bleiben.</w:t>
      </w:r>
    </w:p>
    <w:p>
      <w:pPr>
        <w:pStyle w:val="Standard1"/>
        <w:jc w:val="both"/>
        <w:rPr>
          <w:sz w:val="22"/>
          <w:szCs w:val="22"/>
        </w:rPr>
      </w:pPr>
      <w:r>
        <w:rPr>
          <w:sz w:val="22"/>
          <w:szCs w:val="22"/>
        </w:rPr>
        <w:t>Mit großer Sorge verfolgen wir daher den Vorschlag der Euro-</w:t>
      </w:r>
      <w:r>
        <w:rPr>
          <w:sz w:val="22"/>
          <w:szCs w:val="22"/>
        </w:rPr>
        <w:br/>
      </w:r>
      <w:proofErr w:type="spellStart"/>
      <w:r>
        <w:rPr>
          <w:sz w:val="22"/>
          <w:szCs w:val="22"/>
        </w:rPr>
        <w:t>päischen</w:t>
      </w:r>
      <w:proofErr w:type="spellEnd"/>
      <w:r>
        <w:rPr>
          <w:sz w:val="22"/>
          <w:szCs w:val="22"/>
        </w:rPr>
        <w:t xml:space="preserve"> Kommission zur Reform des Europäischen Emissionshandelssystems (EU ETS). Hohe Energie- und CO</w:t>
      </w:r>
      <w:r>
        <w:rPr>
          <w:rFonts w:ascii="Cambria Math" w:hAnsi="Cambria Math" w:cs="Cambria Math"/>
          <w:sz w:val="22"/>
          <w:szCs w:val="22"/>
        </w:rPr>
        <w:t>₂</w:t>
      </w:r>
      <w:r>
        <w:rPr>
          <w:sz w:val="22"/>
          <w:szCs w:val="22"/>
        </w:rPr>
        <w:t xml:space="preserve">-Kosten, eine schwache Nachfrage und wachsender Importdruck belasten Investitionen und Produktion schon heute deutlich – die Auswirkungen erreichen längst auch unsere Städte. Nach der Reform wäre die Belastung für viele Anlagen erheblich höher und träte wesentlich früher ein als im bisherigen System. </w:t>
      </w:r>
    </w:p>
    <w:p>
      <w:pPr>
        <w:pStyle w:val="Standard1"/>
        <w:jc w:val="both"/>
        <w:rPr>
          <w:sz w:val="22"/>
          <w:szCs w:val="22"/>
        </w:rPr>
      </w:pPr>
      <w:r>
        <w:rPr>
          <w:sz w:val="22"/>
          <w:szCs w:val="22"/>
        </w:rPr>
        <w:t xml:space="preserve">Wir teilen insbesondere die Kritik der Industrie in unserer Region an der geplanten Verknüpfung der kostenlosen Zuteilung von Emissionszertifikaten mit zusätzlichen Investitionsverpflichtungen. Den Schutz vor Carbon </w:t>
      </w:r>
      <w:proofErr w:type="spellStart"/>
      <w:r>
        <w:rPr>
          <w:sz w:val="22"/>
          <w:szCs w:val="22"/>
        </w:rPr>
        <w:t>Leakage</w:t>
      </w:r>
      <w:proofErr w:type="spellEnd"/>
      <w:r>
        <w:rPr>
          <w:sz w:val="22"/>
          <w:szCs w:val="22"/>
        </w:rPr>
        <w:t xml:space="preserve"> sollen Unternehmen künftig nur noch dann in vollem Umfang erhalten, wenn sie innerhalb </w:t>
      </w:r>
    </w:p>
    <w:p>
      <w:pPr>
        <w:pStyle w:val="Standard1"/>
        <w:jc w:val="both"/>
        <w:rPr>
          <w:sz w:val="22"/>
          <w:szCs w:val="22"/>
        </w:rPr>
      </w:pPr>
    </w:p>
    <w:p>
      <w:pPr>
        <w:pStyle w:val="Standard1"/>
        <w:ind w:left="5664"/>
        <w:jc w:val="both"/>
        <w:rPr>
          <w:sz w:val="22"/>
          <w:szCs w:val="22"/>
        </w:rPr>
      </w:pPr>
      <w:r>
        <w:rPr>
          <w:sz w:val="22"/>
          <w:szCs w:val="22"/>
        </w:rPr>
        <w:t>/5</w:t>
      </w:r>
    </w:p>
    <w:p>
      <w:pPr>
        <w:pStyle w:val="Standard1"/>
        <w:ind w:left="3540" w:firstLine="708"/>
        <w:jc w:val="both"/>
        <w:rPr>
          <w:sz w:val="22"/>
          <w:szCs w:val="22"/>
        </w:rPr>
      </w:pPr>
      <w:r>
        <w:rPr>
          <w:sz w:val="22"/>
          <w:szCs w:val="22"/>
        </w:rPr>
        <w:lastRenderedPageBreak/>
        <w:t>- 5 -</w:t>
      </w:r>
    </w:p>
    <w:p>
      <w:pPr>
        <w:pStyle w:val="Standard1"/>
        <w:jc w:val="both"/>
        <w:rPr>
          <w:sz w:val="22"/>
          <w:szCs w:val="22"/>
        </w:rPr>
      </w:pPr>
      <w:r>
        <w:rPr>
          <w:sz w:val="22"/>
          <w:szCs w:val="22"/>
        </w:rPr>
        <w:t>vorgegebener Fristen Investitionen zur CO</w:t>
      </w:r>
      <w:r>
        <w:rPr>
          <w:rFonts w:ascii="Cambria Math" w:hAnsi="Cambria Math" w:cs="Cambria Math"/>
          <w:sz w:val="22"/>
          <w:szCs w:val="22"/>
        </w:rPr>
        <w:t>₂</w:t>
      </w:r>
      <w:r>
        <w:rPr>
          <w:sz w:val="22"/>
          <w:szCs w:val="22"/>
        </w:rPr>
        <w:t>-Minderung in entsprechender Höhe nachweisen. Ein Instrument, das faire Wettbewerbsbedingungen sichern soll, würde so zur regulatorischen Investitionspflicht – unabhängig davon, ob CO</w:t>
      </w:r>
      <w:r>
        <w:rPr>
          <w:rFonts w:ascii="Cambria Math" w:hAnsi="Cambria Math" w:cs="Cambria Math"/>
          <w:sz w:val="22"/>
          <w:szCs w:val="22"/>
        </w:rPr>
        <w:t>₂</w:t>
      </w:r>
      <w:r>
        <w:rPr>
          <w:sz w:val="22"/>
          <w:szCs w:val="22"/>
        </w:rPr>
        <w:t>-arme Energie zu wettbewerbsfähigen Preisen, Wasserstoff- und CO</w:t>
      </w:r>
      <w:r>
        <w:rPr>
          <w:rFonts w:ascii="Cambria Math" w:hAnsi="Cambria Math" w:cs="Cambria Math"/>
          <w:sz w:val="22"/>
          <w:szCs w:val="22"/>
        </w:rPr>
        <w:t>₂</w:t>
      </w:r>
      <w:r>
        <w:rPr>
          <w:sz w:val="22"/>
          <w:szCs w:val="22"/>
        </w:rPr>
        <w:t>-Infrastruktur, skalierbare Technologien und eine ausreichende Nachfrage nach klimafreundlichen Produkten vorhanden sind und ob sich die Investitionen wirtschaftlich tragen.</w:t>
      </w:r>
    </w:p>
    <w:p>
      <w:pPr>
        <w:pStyle w:val="Standard1"/>
        <w:jc w:val="both"/>
        <w:rPr>
          <w:sz w:val="22"/>
          <w:szCs w:val="22"/>
        </w:rPr>
      </w:pPr>
      <w:r>
        <w:rPr>
          <w:sz w:val="22"/>
          <w:szCs w:val="22"/>
        </w:rPr>
        <w:t>Die Unternehmen stünden vor einem folgenschweren Dilemma: Entweder sie verlieren einen wesentlichen Teil ihres Carbon-</w:t>
      </w:r>
      <w:proofErr w:type="spellStart"/>
      <w:r>
        <w:rPr>
          <w:sz w:val="22"/>
          <w:szCs w:val="22"/>
        </w:rPr>
        <w:t>Leakage</w:t>
      </w:r>
      <w:proofErr w:type="spellEnd"/>
      <w:r>
        <w:rPr>
          <w:sz w:val="22"/>
          <w:szCs w:val="22"/>
        </w:rPr>
        <w:t xml:space="preserve">-Schutzes, oder sie investieren in Projekte, die technisch oder wirtschaftlich noch nicht tragfähig sind. Am stärksten träfe dies energieintensive Grundstoffanlagen am Anfang zahlreicher Wertschöpfungsketten. </w:t>
      </w:r>
    </w:p>
    <w:p>
      <w:pPr>
        <w:pStyle w:val="Standard1"/>
        <w:jc w:val="both"/>
        <w:rPr>
          <w:sz w:val="22"/>
          <w:szCs w:val="22"/>
        </w:rPr>
      </w:pPr>
      <w:r>
        <w:rPr>
          <w:sz w:val="22"/>
          <w:szCs w:val="22"/>
        </w:rPr>
        <w:t>In unserer Region wären diese Folgen unmittelbar spürbar. Denn die Stärke der Metropolregion beruht auf einem engen Zusammenspiel von industrieller Produktion, Zulieferern, Energieversorgern, Logistik, Hochschulen und Forschung. Geraten die Grundstoffanlagen unter Druck, trifft das eine Vielzahl von Arbeits- und Ausbildungsplätzen in der gesamten Region. Für unsere Städte bedeutet das zudem sinkende Steuereinnahmen, die wir für Schulen und Kitas, die Gesundheitsversorgung und die Sanierung von Brücken und Straßen dringend benötigen. Einmal verlorene industrielle Strukturen lassen sich kaum zurückholen.</w:t>
      </w:r>
    </w:p>
    <w:p>
      <w:pPr>
        <w:pStyle w:val="Standard1"/>
        <w:jc w:val="both"/>
        <w:rPr>
          <w:sz w:val="22"/>
          <w:szCs w:val="22"/>
        </w:rPr>
      </w:pPr>
    </w:p>
    <w:p>
      <w:pPr>
        <w:pStyle w:val="Standard1"/>
        <w:jc w:val="both"/>
        <w:rPr>
          <w:sz w:val="22"/>
          <w:szCs w:val="22"/>
        </w:rPr>
      </w:pPr>
    </w:p>
    <w:p>
      <w:pPr>
        <w:pStyle w:val="Standard1"/>
        <w:jc w:val="both"/>
        <w:rPr>
          <w:sz w:val="22"/>
          <w:szCs w:val="22"/>
        </w:rPr>
      </w:pPr>
    </w:p>
    <w:p>
      <w:pPr>
        <w:pStyle w:val="Standard1"/>
        <w:ind w:left="5664"/>
        <w:jc w:val="both"/>
        <w:rPr>
          <w:sz w:val="22"/>
          <w:szCs w:val="22"/>
        </w:rPr>
      </w:pPr>
      <w:r>
        <w:rPr>
          <w:sz w:val="22"/>
          <w:szCs w:val="22"/>
        </w:rPr>
        <w:t>/6</w:t>
      </w:r>
    </w:p>
    <w:p>
      <w:pPr>
        <w:pStyle w:val="Standard1"/>
        <w:ind w:left="3540" w:firstLine="708"/>
        <w:jc w:val="both"/>
        <w:rPr>
          <w:sz w:val="22"/>
          <w:szCs w:val="22"/>
        </w:rPr>
      </w:pPr>
      <w:r>
        <w:rPr>
          <w:sz w:val="22"/>
          <w:szCs w:val="22"/>
        </w:rPr>
        <w:lastRenderedPageBreak/>
        <w:t>- 6 -</w:t>
      </w:r>
    </w:p>
    <w:p>
      <w:pPr>
        <w:pStyle w:val="Standard1"/>
        <w:jc w:val="both"/>
        <w:rPr>
          <w:b/>
          <w:bCs/>
          <w:sz w:val="22"/>
          <w:szCs w:val="22"/>
        </w:rPr>
      </w:pPr>
      <w:r>
        <w:rPr>
          <w:b/>
          <w:bCs/>
          <w:sz w:val="22"/>
          <w:szCs w:val="22"/>
        </w:rPr>
        <w:t>Wir bitten Sie daher nachdrücklich,</w:t>
      </w:r>
    </w:p>
    <w:p>
      <w:pPr>
        <w:pStyle w:val="Standard1"/>
        <w:jc w:val="both"/>
        <w:rPr>
          <w:sz w:val="22"/>
          <w:szCs w:val="22"/>
        </w:rPr>
      </w:pPr>
      <w:r>
        <w:rPr>
          <w:sz w:val="22"/>
          <w:szCs w:val="22"/>
        </w:rPr>
        <w:t>•</w:t>
      </w:r>
      <w:r>
        <w:rPr>
          <w:sz w:val="22"/>
          <w:szCs w:val="22"/>
        </w:rPr>
        <w:tab/>
        <w:t xml:space="preserve">die kostenlose Zuteilung von Emissionszertifikaten als wirksames Instrument zum Schutz vor Carbon </w:t>
      </w:r>
      <w:proofErr w:type="spellStart"/>
      <w:r>
        <w:rPr>
          <w:sz w:val="22"/>
          <w:szCs w:val="22"/>
        </w:rPr>
        <w:t>Leakage</w:t>
      </w:r>
      <w:proofErr w:type="spellEnd"/>
      <w:r>
        <w:rPr>
          <w:sz w:val="22"/>
          <w:szCs w:val="22"/>
        </w:rPr>
        <w:t xml:space="preserve"> in ausreichendem Umfang zu erhalten und nicht durch zusätzliche Investitionsverpflichtungen in ihrer Schutzwirkung zu schwächen,</w:t>
      </w:r>
    </w:p>
    <w:p>
      <w:pPr>
        <w:pStyle w:val="Standard1"/>
        <w:jc w:val="both"/>
        <w:rPr>
          <w:sz w:val="22"/>
          <w:szCs w:val="22"/>
        </w:rPr>
      </w:pPr>
      <w:r>
        <w:rPr>
          <w:sz w:val="22"/>
          <w:szCs w:val="22"/>
        </w:rPr>
        <w:t>•</w:t>
      </w:r>
      <w:r>
        <w:rPr>
          <w:sz w:val="22"/>
          <w:szCs w:val="22"/>
        </w:rPr>
        <w:tab/>
        <w:t>Anforderungen und Tempo der Transformation an der wirtschaftlichen Machbarkeit sowie an der Verfügbarkeit wettbewerbsfähiger Energie, notwendiger Infrastruktur, skalierbarer Technologien und tragfähiger Märkte auszurichten,</w:t>
      </w:r>
    </w:p>
    <w:p>
      <w:pPr>
        <w:pStyle w:val="Standard1"/>
        <w:jc w:val="both"/>
        <w:rPr>
          <w:sz w:val="22"/>
          <w:szCs w:val="22"/>
        </w:rPr>
      </w:pPr>
      <w:r>
        <w:rPr>
          <w:sz w:val="22"/>
          <w:szCs w:val="22"/>
        </w:rPr>
        <w:t>•</w:t>
      </w:r>
      <w:r>
        <w:rPr>
          <w:sz w:val="22"/>
          <w:szCs w:val="22"/>
        </w:rPr>
        <w:tab/>
        <w:t>und für Industrieregionen wie die Metropolregion Rhein-Neckar verlässliche und planbare Investitionsbedingungen zu schaffen, statt zusätzliche Unsicherheit zu erzeugen.</w:t>
      </w:r>
    </w:p>
    <w:p>
      <w:pPr>
        <w:pStyle w:val="Standard1"/>
        <w:jc w:val="both"/>
        <w:rPr>
          <w:sz w:val="22"/>
          <w:szCs w:val="22"/>
        </w:rPr>
      </w:pPr>
      <w:r>
        <w:rPr>
          <w:sz w:val="22"/>
          <w:szCs w:val="22"/>
        </w:rPr>
        <w:t xml:space="preserve">Europa braucht wirksamen Klimaschutz und eine starke </w:t>
      </w:r>
      <w:r>
        <w:rPr>
          <w:sz w:val="22"/>
          <w:szCs w:val="22"/>
        </w:rPr>
        <w:br/>
        <w:t>industrielle Basis. Beides darf nicht gegeneinander ausgespielt werden. Die Transformation gelingt nur, wenn die Produktion klimaneutral wird und zugleich in Europa bleibt.</w:t>
      </w:r>
    </w:p>
    <w:p>
      <w:pPr>
        <w:pStyle w:val="Standard1"/>
        <w:jc w:val="both"/>
        <w:rPr>
          <w:sz w:val="22"/>
          <w:szCs w:val="22"/>
        </w:rPr>
      </w:pPr>
      <w:r>
        <w:rPr>
          <w:sz w:val="22"/>
          <w:szCs w:val="22"/>
        </w:rPr>
        <w:t>Mannheim und Ludwigshafen stehen gemeinsam mit der Metropolregion Rhein-Neckar für diesen Weg. Wir zählen darauf, dass Sie die Perspektive der Industrieregionen in die Verhandlungen zur ETS-Reform einbringen.</w:t>
      </w:r>
    </w:p>
    <w:p>
      <w:pPr>
        <w:rPr>
          <w:rFonts w:cs="Arial"/>
        </w:rPr>
      </w:pPr>
    </w:p>
    <w:p>
      <w:pPr>
        <w:rPr>
          <w:rFonts w:cs="Arial"/>
        </w:rPr>
      </w:pPr>
    </w:p>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 w:type="paragraph" w:customStyle="1" w:styleId="Standard1">
    <w:name w:val="Standard1"/>
    <w:basedOn w:val="Standard"/>
    <w:pPr>
      <w:spacing w:after="160"/>
      <w:jc w:val="left"/>
    </w:pPr>
    <w:rPr>
      <w:rFonts w:eastAsiaTheme="minorHAnsi" w:cs="Arial"/>
      <w:noProof w:val="0"/>
      <w:kern w:val="2"/>
      <w:sz w:val="21"/>
      <w:szCs w:val="21"/>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1221</Words>
  <Characters>7697</Characters>
  <Application>Microsoft Office Word</Application>
  <DocSecurity>0</DocSecurity>
  <Lines>64</Lines>
  <Paragraphs>17</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2</cp:revision>
  <cp:lastPrinted>2023-06-19T09:00:00Z</cp:lastPrinted>
  <dcterms:created xsi:type="dcterms:W3CDTF">2026-11-02T14:41:00Z</dcterms:created>
  <dcterms:modified xsi:type="dcterms:W3CDTF">2026-11-02T14:41:00Z</dcterms:modified>
</cp:coreProperties>
</file>