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Datum"/>
        <w:spacing w:line="276" w:lineRule="auto"/>
        <w:jc w:val="left"/>
        <w:rPr>
          <w:rFonts w:cs="Arial"/>
          <w:szCs w:val="22"/>
        </w:rPr>
      </w:pPr>
      <w:r>
        <w:rPr>
          <w:rFonts w:cs="Arial"/>
          <w:szCs w:val="22"/>
        </w:rPr>
        <w:t>Ludwigshafen, den 3. November 2026</w:t>
      </w:r>
    </w:p>
    <w:p>
      <w:pPr>
        <w:spacing w:after="200" w:line="276" w:lineRule="auto"/>
        <w:rPr>
          <w:rFonts w:ascii="Arial" w:hAnsi="Arial"/>
          <w:b/>
          <w:bCs/>
          <w:sz w:val="28"/>
          <w:szCs w:val="28"/>
          <w:lang w:eastAsia="en-US"/>
        </w:rPr>
      </w:pPr>
      <w:r>
        <w:rPr>
          <w:rFonts w:ascii="Arial" w:hAnsi="Arial"/>
          <w:b/>
          <w:bCs/>
          <w:sz w:val="28"/>
          <w:szCs w:val="28"/>
          <w:lang w:eastAsia="en-US"/>
        </w:rPr>
        <w:t>Klavierkonzert am Nachmittag im Ernst-Bloch-Zentrum</w:t>
      </w:r>
    </w:p>
    <w:p>
      <w:pPr>
        <w:spacing w:after="200" w:line="276" w:lineRule="auto"/>
        <w:jc w:val="both"/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 xml:space="preserve">Das Ernst-Bloch-Zentrum, </w:t>
      </w:r>
      <w:proofErr w:type="spellStart"/>
      <w:r>
        <w:rPr>
          <w:rFonts w:ascii="Arial" w:hAnsi="Arial"/>
          <w:sz w:val="22"/>
          <w:lang w:eastAsia="en-US"/>
        </w:rPr>
        <w:t>Walzmühlstraße</w:t>
      </w:r>
      <w:proofErr w:type="spellEnd"/>
      <w:r>
        <w:rPr>
          <w:rFonts w:ascii="Arial" w:hAnsi="Arial"/>
          <w:sz w:val="22"/>
          <w:lang w:eastAsia="en-US"/>
        </w:rPr>
        <w:t xml:space="preserve"> 63, lädt am Dienstag, 10. November 2026, um 16 Uhr, zum nächsten Klavierkonzert der Reihe </w:t>
      </w:r>
      <w:r>
        <w:rPr>
          <w:rFonts w:ascii="Arial" w:hAnsi="Arial"/>
          <w:sz w:val="22"/>
          <w:lang w:eastAsia="en-US"/>
        </w:rPr>
        <w:t>"</w:t>
      </w:r>
      <w:r>
        <w:rPr>
          <w:rFonts w:ascii="Arial" w:hAnsi="Arial"/>
          <w:sz w:val="22"/>
          <w:lang w:eastAsia="en-US"/>
        </w:rPr>
        <w:t>Die hörbare Welt</w:t>
      </w:r>
      <w:r>
        <w:rPr>
          <w:rFonts w:ascii="Arial" w:hAnsi="Arial"/>
          <w:sz w:val="22"/>
          <w:lang w:eastAsia="en-US"/>
        </w:rPr>
        <w:t>"</w:t>
      </w:r>
      <w:r>
        <w:rPr>
          <w:rFonts w:ascii="Arial" w:hAnsi="Arial"/>
          <w:sz w:val="22"/>
          <w:lang w:eastAsia="en-US"/>
        </w:rPr>
        <w:t xml:space="preserve"> ein. Der Eintritt (inkl</w:t>
      </w:r>
      <w:r>
        <w:rPr>
          <w:rFonts w:ascii="Arial" w:hAnsi="Arial"/>
          <w:sz w:val="22"/>
          <w:lang w:eastAsia="en-US"/>
        </w:rPr>
        <w:t>usive</w:t>
      </w:r>
      <w:r>
        <w:rPr>
          <w:rFonts w:ascii="Arial" w:hAnsi="Arial"/>
          <w:sz w:val="22"/>
          <w:lang w:eastAsia="en-US"/>
        </w:rPr>
        <w:t xml:space="preserve"> Ausstellungsbesuch) beträgt 7 Euro, ermäßigt 5 Euro. Für Mitglieder der Pfälzischen Musikgesellschaft ist der Eintritt frei. </w:t>
      </w:r>
    </w:p>
    <w:p>
      <w:pPr>
        <w:spacing w:after="200" w:line="276" w:lineRule="auto"/>
        <w:jc w:val="both"/>
        <w:rPr>
          <w:rFonts w:ascii="Arial" w:hAnsi="Arial"/>
          <w:sz w:val="22"/>
          <w:lang w:eastAsia="en-US"/>
        </w:rPr>
      </w:pPr>
      <w:proofErr w:type="spellStart"/>
      <w:r>
        <w:rPr>
          <w:rFonts w:ascii="Arial" w:hAnsi="Arial"/>
          <w:sz w:val="22"/>
          <w:lang w:eastAsia="en-US"/>
        </w:rPr>
        <w:t>Xinye</w:t>
      </w:r>
      <w:proofErr w:type="spellEnd"/>
      <w:r>
        <w:rPr>
          <w:rFonts w:ascii="Arial" w:hAnsi="Arial"/>
          <w:sz w:val="22"/>
          <w:lang w:eastAsia="en-US"/>
        </w:rPr>
        <w:t xml:space="preserve"> Miao und </w:t>
      </w:r>
      <w:proofErr w:type="spellStart"/>
      <w:r>
        <w:rPr>
          <w:rFonts w:ascii="Arial" w:hAnsi="Arial"/>
          <w:sz w:val="22"/>
          <w:lang w:eastAsia="en-US"/>
        </w:rPr>
        <w:t>Yinuo</w:t>
      </w:r>
      <w:proofErr w:type="spellEnd"/>
      <w:r>
        <w:rPr>
          <w:rFonts w:ascii="Arial" w:hAnsi="Arial"/>
          <w:sz w:val="22"/>
          <w:lang w:eastAsia="en-US"/>
        </w:rPr>
        <w:t xml:space="preserve"> Zhang werden am Klavier Werke der Komponisten Frédéric Chopin, Fritz Kreisler, Nikolai </w:t>
      </w:r>
      <w:proofErr w:type="spellStart"/>
      <w:r>
        <w:rPr>
          <w:rFonts w:ascii="Arial" w:hAnsi="Arial"/>
          <w:sz w:val="22"/>
          <w:lang w:eastAsia="en-US"/>
        </w:rPr>
        <w:t>Kapustin</w:t>
      </w:r>
      <w:proofErr w:type="spellEnd"/>
      <w:r>
        <w:rPr>
          <w:rFonts w:ascii="Arial" w:hAnsi="Arial"/>
          <w:sz w:val="22"/>
          <w:lang w:eastAsia="en-US"/>
        </w:rPr>
        <w:t xml:space="preserve"> und Ludwig van Beethoven interpretieren. Vor und nach dem Konzert besteht die Möglichkeit, die aktuelle Sonderausstellung </w:t>
      </w:r>
      <w:r>
        <w:rPr>
          <w:rFonts w:ascii="Arial" w:hAnsi="Arial"/>
          <w:sz w:val="22"/>
          <w:lang w:eastAsia="en-US"/>
        </w:rPr>
        <w:t>"</w:t>
      </w:r>
      <w:r>
        <w:rPr>
          <w:rFonts w:ascii="Arial" w:hAnsi="Arial"/>
          <w:sz w:val="22"/>
          <w:lang w:eastAsia="en-US"/>
        </w:rPr>
        <w:t>Ernst und Karola Bloch – Eine fotografische Reise durch ein bewegtes Leben</w:t>
      </w:r>
      <w:r>
        <w:rPr>
          <w:rFonts w:ascii="Arial" w:hAnsi="Arial"/>
          <w:sz w:val="22"/>
          <w:lang w:eastAsia="en-US"/>
        </w:rPr>
        <w:t>"</w:t>
      </w:r>
      <w:r>
        <w:rPr>
          <w:rFonts w:ascii="Arial" w:hAnsi="Arial"/>
          <w:sz w:val="22"/>
          <w:lang w:eastAsia="en-US"/>
        </w:rPr>
        <w:t xml:space="preserve"> zu besuchen.</w:t>
      </w:r>
    </w:p>
    <w:p>
      <w:pPr>
        <w:spacing w:after="200" w:line="276" w:lineRule="auto"/>
        <w:jc w:val="both"/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 xml:space="preserve">Die Reihe </w:t>
      </w:r>
      <w:r>
        <w:rPr>
          <w:rFonts w:ascii="Arial" w:hAnsi="Arial"/>
          <w:sz w:val="22"/>
          <w:lang w:eastAsia="en-US"/>
        </w:rPr>
        <w:t>"</w:t>
      </w:r>
      <w:r>
        <w:rPr>
          <w:rFonts w:ascii="Arial" w:hAnsi="Arial"/>
          <w:sz w:val="22"/>
          <w:lang w:eastAsia="en-US"/>
        </w:rPr>
        <w:t>Die hörbare Welt</w:t>
      </w:r>
      <w:r>
        <w:rPr>
          <w:rFonts w:ascii="Arial" w:hAnsi="Arial"/>
          <w:sz w:val="22"/>
          <w:lang w:eastAsia="en-US"/>
        </w:rPr>
        <w:t>"</w:t>
      </w:r>
      <w:r>
        <w:rPr>
          <w:rFonts w:ascii="Arial" w:hAnsi="Arial"/>
          <w:sz w:val="22"/>
          <w:lang w:eastAsia="en-US"/>
        </w:rPr>
        <w:t xml:space="preserve"> ist eine Kooperation zwischen dem Ernst-Bloch-Zentrum, der Staatlichen Hochschule für Musik und Darstellende Kunst Mannheim sowie der Pfälzischen Musikgesellschaft e.V. Im Rahmen der Reihe werden an jedem zweiten Dienstag des Monats um 16 Uhr im Ernst-Bloch-Zentrum Nachmittagskonzert</w:t>
      </w:r>
      <w:r>
        <w:rPr>
          <w:rFonts w:ascii="Arial" w:hAnsi="Arial"/>
          <w:sz w:val="22"/>
          <w:lang w:eastAsia="en-US"/>
        </w:rPr>
        <w:t>e</w:t>
      </w:r>
      <w:r>
        <w:rPr>
          <w:rFonts w:ascii="Arial" w:hAnsi="Arial"/>
          <w:sz w:val="22"/>
          <w:lang w:eastAsia="en-US"/>
        </w:rPr>
        <w:t xml:space="preserve"> angeboten, bei denen herausragende Studierende der Hochschule für Musik und Darstellende Kunst </w:t>
      </w:r>
      <w:r>
        <w:rPr>
          <w:rFonts w:ascii="Arial" w:hAnsi="Arial"/>
          <w:sz w:val="22"/>
          <w:lang w:eastAsia="en-US"/>
        </w:rPr>
        <w:br/>
      </w:r>
      <w:r>
        <w:rPr>
          <w:rFonts w:ascii="Arial" w:hAnsi="Arial"/>
          <w:sz w:val="22"/>
          <w:lang w:eastAsia="en-US"/>
        </w:rPr>
        <w:t xml:space="preserve">Mannheim auftreten. </w:t>
      </w:r>
      <w:r>
        <w:rPr>
          <w:rFonts w:ascii="Arial" w:hAnsi="Arial"/>
          <w:sz w:val="22"/>
          <w:lang w:eastAsia="en-US"/>
        </w:rPr>
        <w:t>"</w:t>
      </w:r>
      <w:r>
        <w:rPr>
          <w:rFonts w:ascii="Arial" w:hAnsi="Arial"/>
          <w:sz w:val="22"/>
          <w:lang w:eastAsia="en-US"/>
        </w:rPr>
        <w:t>Die hörbare Welt</w:t>
      </w:r>
      <w:r>
        <w:rPr>
          <w:rFonts w:ascii="Arial" w:hAnsi="Arial"/>
          <w:sz w:val="22"/>
          <w:lang w:eastAsia="en-US"/>
        </w:rPr>
        <w:t>"</w:t>
      </w:r>
      <w:r>
        <w:rPr>
          <w:rFonts w:ascii="Arial" w:hAnsi="Arial"/>
          <w:sz w:val="22"/>
          <w:lang w:eastAsia="en-US"/>
        </w:rPr>
        <w:t xml:space="preserve"> ist ein Zitat aus Ernst Blochs Werk </w:t>
      </w:r>
      <w:r>
        <w:rPr>
          <w:rFonts w:ascii="Arial" w:hAnsi="Arial"/>
          <w:sz w:val="22"/>
          <w:lang w:eastAsia="en-US"/>
        </w:rPr>
        <w:t>"</w:t>
      </w:r>
      <w:r>
        <w:rPr>
          <w:rFonts w:ascii="Arial" w:hAnsi="Arial"/>
          <w:sz w:val="22"/>
          <w:lang w:eastAsia="en-US"/>
        </w:rPr>
        <w:t>Geist der Utopie</w:t>
      </w:r>
      <w:r>
        <w:rPr>
          <w:rFonts w:ascii="Arial" w:hAnsi="Arial"/>
          <w:sz w:val="22"/>
          <w:lang w:eastAsia="en-US"/>
        </w:rPr>
        <w:t>"</w:t>
      </w:r>
      <w:r>
        <w:rPr>
          <w:rFonts w:ascii="Arial" w:hAnsi="Arial"/>
          <w:sz w:val="22"/>
          <w:lang w:eastAsia="en-US"/>
        </w:rPr>
        <w:t xml:space="preserve"> (G</w:t>
      </w:r>
      <w:r>
        <w:rPr>
          <w:rFonts w:ascii="Arial" w:hAnsi="Arial"/>
          <w:sz w:val="22"/>
          <w:lang w:eastAsia="en-US"/>
        </w:rPr>
        <w:t>esamtausgabe</w:t>
      </w:r>
      <w:r>
        <w:rPr>
          <w:rFonts w:ascii="Arial" w:hAnsi="Arial"/>
          <w:sz w:val="22"/>
          <w:lang w:eastAsia="en-US"/>
        </w:rPr>
        <w:t xml:space="preserve"> B</w:t>
      </w:r>
      <w:r>
        <w:rPr>
          <w:rFonts w:ascii="Arial" w:hAnsi="Arial"/>
          <w:sz w:val="22"/>
          <w:lang w:eastAsia="en-US"/>
        </w:rPr>
        <w:t>and</w:t>
      </w:r>
      <w:r>
        <w:rPr>
          <w:rFonts w:ascii="Arial" w:hAnsi="Arial"/>
          <w:sz w:val="22"/>
          <w:lang w:eastAsia="en-US"/>
        </w:rPr>
        <w:t xml:space="preserve"> 3, 1977, S</w:t>
      </w:r>
      <w:r>
        <w:rPr>
          <w:rFonts w:ascii="Arial" w:hAnsi="Arial"/>
          <w:sz w:val="22"/>
          <w:lang w:eastAsia="en-US"/>
        </w:rPr>
        <w:t>eite</w:t>
      </w:r>
      <w:r>
        <w:rPr>
          <w:rFonts w:ascii="Arial" w:hAnsi="Arial"/>
          <w:sz w:val="22"/>
          <w:lang w:eastAsia="en-US"/>
        </w:rPr>
        <w:t xml:space="preserve"> 207). </w:t>
      </w:r>
    </w:p>
    <w:p>
      <w:pPr>
        <w:spacing w:after="200" w:line="276" w:lineRule="auto"/>
        <w:jc w:val="both"/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 xml:space="preserve">Nähere Informationen zu der Konzertreihe und den Künstler*innen finden Sie im Internet unter </w:t>
      </w:r>
      <w:hyperlink r:id="rId8" w:history="1">
        <w:r>
          <w:rPr>
            <w:rStyle w:val="Hyperlink"/>
            <w:rFonts w:ascii="Arial" w:hAnsi="Arial"/>
            <w:sz w:val="22"/>
            <w:lang w:eastAsia="en-US"/>
          </w:rPr>
          <w:t>www.bloch.de</w:t>
        </w:r>
      </w:hyperlink>
      <w:r>
        <w:rPr>
          <w:rFonts w:ascii="Arial" w:hAnsi="Arial"/>
          <w:sz w:val="22"/>
          <w:lang w:eastAsia="en-US"/>
        </w:rPr>
        <w:t>.</w:t>
      </w:r>
    </w:p>
    <w:p>
      <w:pPr>
        <w:spacing w:after="200" w:line="276" w:lineRule="auto"/>
        <w:jc w:val="both"/>
        <w:rPr>
          <w:rFonts w:ascii="Arial" w:hAnsi="Arial"/>
          <w:sz w:val="22"/>
          <w:lang w:eastAsia="en-US"/>
        </w:rPr>
      </w:pPr>
    </w:p>
    <w:p>
      <w:pPr>
        <w:spacing w:after="200" w:line="276" w:lineRule="auto"/>
        <w:ind w:left="5664"/>
        <w:jc w:val="both"/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>/2</w:t>
      </w:r>
    </w:p>
    <w:p>
      <w:pPr>
        <w:spacing w:after="200" w:line="276" w:lineRule="auto"/>
        <w:ind w:left="3540" w:firstLine="708"/>
        <w:jc w:val="both"/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>- 2 -</w:t>
      </w:r>
    </w:p>
    <w:p>
      <w:pPr>
        <w:spacing w:line="276" w:lineRule="auto"/>
        <w:jc w:val="both"/>
        <w:rPr>
          <w:rFonts w:ascii="Arial" w:hAnsi="Arial"/>
          <w:b/>
          <w:bCs/>
          <w:sz w:val="22"/>
          <w:lang w:eastAsia="en-US"/>
        </w:rPr>
      </w:pPr>
      <w:r>
        <w:rPr>
          <w:rFonts w:ascii="Arial" w:hAnsi="Arial"/>
          <w:b/>
          <w:bCs/>
          <w:sz w:val="22"/>
          <w:lang w:eastAsia="en-US"/>
        </w:rPr>
        <w:t xml:space="preserve">Hinweis an die Redaktionen: </w:t>
      </w:r>
    </w:p>
    <w:p>
      <w:pPr>
        <w:spacing w:line="276" w:lineRule="auto"/>
        <w:jc w:val="both"/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 xml:space="preserve">Für Rückfragen steht Ihnen Florian Ostermeier vom Ernst-Bloch-Zentrum unter Telefon 0621 504-2493 oder E-Mail an presse@bloch.de zur Verfügung. 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799" w:right="4082" w:bottom="3402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pStyle w:val="Standa"/>
      </w:pPr>
      <w:r>
        <w:separator/>
      </w:r>
    </w:p>
  </w:endnote>
  <w:endnote w:type="continuationSeparator" w:id="0">
    <w:p>
      <w:pPr>
        <w:pStyle w:val="Stand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80" w:type="dxa"/>
      <w:tblLook w:val="00A0" w:firstRow="1" w:lastRow="0" w:firstColumn="1" w:lastColumn="0" w:noHBand="0" w:noVBand="0"/>
    </w:tblPr>
    <w:tblGrid>
      <w:gridCol w:w="6281"/>
      <w:gridCol w:w="2899"/>
    </w:tblGrid>
    <w:tr>
      <w:tc>
        <w:tcPr>
          <w:tcW w:w="6281" w:type="dxa"/>
          <w:shd w:val="clear" w:color="auto" w:fill="auto"/>
        </w:tcPr>
        <w:p>
          <w:pPr>
            <w:pStyle w:val="Fuzei"/>
          </w:pPr>
        </w:p>
      </w:tc>
      <w:tc>
        <w:tcPr>
          <w:tcW w:w="2899" w:type="dxa"/>
          <w:shd w:val="clear" w:color="auto" w:fill="auto"/>
        </w:tcPr>
        <w:p>
          <w:pPr>
            <w:pStyle w:val="Fuzei"/>
          </w:pPr>
          <w:r>
            <w:t>Herausgeberin:</w:t>
          </w:r>
        </w:p>
        <w:p>
          <w:pPr>
            <w:pStyle w:val="Fuzei"/>
          </w:pPr>
          <w:r>
            <w:t>Stadt Ludwigshafen am Rhein</w:t>
          </w:r>
        </w:p>
        <w:p>
          <w:pPr>
            <w:pStyle w:val="Fuzei"/>
          </w:pPr>
          <w:r>
            <w:t>Bereich:</w:t>
          </w:r>
        </w:p>
        <w:p>
          <w:pPr>
            <w:pStyle w:val="Fuzei"/>
            <w:rPr>
              <w:rFonts w:eastAsia="Arial" w:cs="Arial"/>
              <w:color w:val="000000"/>
            </w:rPr>
          </w:pPr>
          <w:r>
            <w:rPr>
              <w:rFonts w:eastAsia="Arial" w:cs="Arial"/>
              <w:color w:val="000000"/>
            </w:rPr>
            <w:t>Kommunikation und Beteiligung</w:t>
          </w:r>
        </w:p>
        <w:p>
          <w:pPr>
            <w:pStyle w:val="Fuzei"/>
          </w:pPr>
        </w:p>
        <w:p>
          <w:pPr>
            <w:pStyle w:val="Fuzei"/>
          </w:pPr>
          <w:r>
            <w:t>Postfach 21 12 25</w:t>
          </w:r>
        </w:p>
        <w:p>
          <w:pPr>
            <w:pStyle w:val="Fuzei"/>
          </w:pPr>
          <w:r>
            <w:t>67012 Ludwigshafen</w:t>
          </w:r>
        </w:p>
        <w:p>
          <w:pPr>
            <w:pStyle w:val="Fuzei"/>
          </w:pPr>
          <w:r>
            <w:t>Telefon: 0621 504-3013</w:t>
          </w:r>
        </w:p>
        <w:p>
          <w:pPr>
            <w:pStyle w:val="Fuzei"/>
          </w:pPr>
          <w:r>
            <w:t>Telefax: 0621 504-2049</w:t>
          </w:r>
        </w:p>
        <w:p>
          <w:pPr>
            <w:pStyle w:val="Fuzei"/>
          </w:pPr>
        </w:p>
        <w:p>
          <w:pPr>
            <w:pStyle w:val="Fuzei"/>
            <w:rPr>
              <w:lang w:val="it-IT"/>
            </w:rPr>
          </w:pPr>
          <w:r>
            <w:rPr>
              <w:lang w:val="it-IT"/>
            </w:rPr>
            <w:t>E-Mail: pressestelle@ludwigshafen.de</w:t>
          </w:r>
        </w:p>
        <w:p>
          <w:pPr>
            <w:pStyle w:val="Fuzei"/>
            <w:rPr>
              <w:lang w:val="it-IT"/>
            </w:rPr>
          </w:pPr>
          <w:r>
            <w:rPr>
              <w:lang w:val="it-IT"/>
            </w:rPr>
            <w:t xml:space="preserve">Internet: www.ludwigshafen.de </w:t>
          </w:r>
        </w:p>
        <w:p>
          <w:pPr>
            <w:pStyle w:val="Fuzei"/>
          </w:pPr>
          <w:r>
            <w:t xml:space="preserve">Verantwortlich: Sigrid </w:t>
          </w:r>
          <w:proofErr w:type="spellStart"/>
          <w:r>
            <w:t>Karck</w:t>
          </w:r>
          <w:proofErr w:type="spellEnd"/>
        </w:p>
      </w:tc>
    </w:tr>
  </w:tbl>
  <w:p>
    <w:pPr>
      <w:pStyle w:val="Fuze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pStyle w:val="Standa"/>
      </w:pPr>
      <w:r>
        <w:separator/>
      </w:r>
    </w:p>
  </w:footnote>
  <w:footnote w:type="continuationSeparator" w:id="0">
    <w:p>
      <w:pPr>
        <w:pStyle w:val="Standa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Kopfze"/>
    </w:pPr>
    <w:r>
      <w:rPr>
        <w:noProof/>
        <w:szCs w:val="20"/>
        <w:lang w:eastAsia="de-DE" w:bidi="ar-SA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-984885</wp:posOffset>
          </wp:positionH>
          <wp:positionV relativeFrom="paragraph">
            <wp:posOffset>-475615</wp:posOffset>
          </wp:positionV>
          <wp:extent cx="7560310" cy="4091940"/>
          <wp:effectExtent l="0" t="0" r="0" b="0"/>
          <wp:wrapNone/>
          <wp:docPr id="1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" r="6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409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  <w:lang w:eastAsia="de-DE" w:bidi="ar-SA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1257300</wp:posOffset>
          </wp:positionH>
          <wp:positionV relativeFrom="paragraph">
            <wp:posOffset>9411970</wp:posOffset>
          </wp:positionV>
          <wp:extent cx="1714500" cy="304800"/>
          <wp:effectExtent l="0" t="0" r="0" b="0"/>
          <wp:wrapNone/>
          <wp:docPr id="3" name="Bild 3" descr="Bloch_Stift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loch_Stiftu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  <w:lang w:eastAsia="de-DE" w:bidi="ar-S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9126220</wp:posOffset>
          </wp:positionV>
          <wp:extent cx="1028700" cy="582930"/>
          <wp:effectExtent l="0" t="0" r="0" b="0"/>
          <wp:wrapNone/>
          <wp:docPr id="2" name="Bild 2" descr="Logo_Blochzentrum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Blochzentrum_0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030EA2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B3A6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79E6B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53068A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D14A8F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76E5E3A"/>
    <w:multiLevelType w:val="hybridMultilevel"/>
    <w:tmpl w:val="375ABEE0"/>
    <w:lvl w:ilvl="0" w:tplc="33B4004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1208" w:allStyles="0" w:customStyles="0" w:latentStyles="0" w:stylesInUse="1" w:headingStyles="0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08"/>
  <w:autoHyphenation/>
  <w:hyphenationZone w:val="425"/>
  <w:doNotHyphenateCaps/>
  <w:clickAndTypeStyle w:val="KeinLeerraum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B1C67AA-3586-49C2-848C-BFBE1B912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">
    <w:name w:val="Standa"/>
    <w:pPr>
      <w:spacing w:after="200" w:line="276" w:lineRule="auto"/>
      <w:jc w:val="both"/>
    </w:pPr>
    <w:rPr>
      <w:rFonts w:eastAsia="Times New Roman"/>
      <w:sz w:val="22"/>
      <w:szCs w:val="22"/>
      <w:lang w:eastAsia="en-US" w:bidi="de-DE"/>
    </w:rPr>
  </w:style>
  <w:style w:type="paragraph" w:customStyle="1" w:styleId="berschri">
    <w:name w:val="Überschri"/>
    <w:basedOn w:val="Standa"/>
    <w:next w:val="Standa"/>
    <w:pPr>
      <w:spacing w:after="600"/>
      <w:outlineLvl w:val="0"/>
    </w:pPr>
    <w:rPr>
      <w:b/>
      <w:sz w:val="28"/>
    </w:rPr>
  </w:style>
  <w:style w:type="paragraph" w:customStyle="1" w:styleId="berschri2">
    <w:name w:val="Überschri2"/>
    <w:basedOn w:val="Standa"/>
    <w:next w:val="Standa"/>
    <w:pPr>
      <w:keepNext/>
      <w:keepLines/>
      <w:spacing w:before="200" w:after="0"/>
      <w:outlineLvl w:val="1"/>
    </w:pPr>
    <w:rPr>
      <w:rFonts w:eastAsia="Arial"/>
      <w:b/>
      <w:bCs/>
      <w:color w:val="4F81BD"/>
      <w:sz w:val="26"/>
      <w:szCs w:val="26"/>
    </w:rPr>
  </w:style>
  <w:style w:type="paragraph" w:customStyle="1" w:styleId="berschri1">
    <w:name w:val="Überschri1"/>
    <w:basedOn w:val="Standa"/>
    <w:next w:val="Standa"/>
    <w:pPr>
      <w:keepNext/>
      <w:keepLines/>
      <w:spacing w:before="200" w:after="0"/>
      <w:outlineLvl w:val="2"/>
    </w:pPr>
    <w:rPr>
      <w:rFonts w:eastAsia="Arial"/>
      <w:b/>
      <w:bCs/>
      <w:color w:val="4F81BD"/>
    </w:rPr>
  </w:style>
  <w:style w:type="character" w:customStyle="1" w:styleId="Absatz-Standardschrift">
    <w:name w:val="Absatz-Standardschrift"/>
    <w:semiHidden/>
  </w:style>
  <w:style w:type="table" w:customStyle="1" w:styleId="NormaleTabe">
    <w:name w:val="Normale Tabe"/>
    <w:semiHidden/>
    <w:rPr>
      <w:rFonts w:eastAsia="Times New Roman"/>
      <w:lang w:eastAsia="en-US" w:bidi="de-D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rPr>
      <w:rFonts w:cs="Times New Roman"/>
      <w:b/>
      <w:sz w:val="22"/>
      <w:lang w:val="de-DE" w:eastAsia="en-US"/>
    </w:rPr>
  </w:style>
  <w:style w:type="character" w:customStyle="1" w:styleId="Heading2Char">
    <w:name w:val="Heading 2 Char"/>
    <w:rPr>
      <w:rFonts w:ascii="Arial" w:hAnsi="Arial" w:cs="Times New Roman"/>
      <w:b/>
      <w:bCs/>
      <w:color w:val="4F81BD"/>
      <w:sz w:val="26"/>
    </w:rPr>
  </w:style>
  <w:style w:type="character" w:customStyle="1" w:styleId="Heading3Char">
    <w:name w:val="Heading 3 Char"/>
    <w:rPr>
      <w:rFonts w:ascii="Arial" w:hAnsi="Arial" w:cs="Times New Roman"/>
      <w:b/>
      <w:bCs/>
      <w:color w:val="4F81BD"/>
    </w:rPr>
  </w:style>
  <w:style w:type="paragraph" w:customStyle="1" w:styleId="KeinLeerraum1">
    <w:name w:val="Kein Leerraum1"/>
    <w:pPr>
      <w:spacing w:after="200" w:line="276" w:lineRule="auto"/>
      <w:jc w:val="both"/>
    </w:pPr>
    <w:rPr>
      <w:rFonts w:eastAsia="Times New Roman"/>
      <w:sz w:val="22"/>
      <w:szCs w:val="22"/>
      <w:lang w:eastAsia="en-US" w:bidi="de-DE"/>
    </w:rPr>
  </w:style>
  <w:style w:type="paragraph" w:customStyle="1" w:styleId="Kopfze">
    <w:name w:val="Kopfze"/>
    <w:basedOn w:val="Stan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rPr>
      <w:rFonts w:cs="Times New Roman"/>
    </w:rPr>
  </w:style>
  <w:style w:type="paragraph" w:customStyle="1" w:styleId="Fuzei">
    <w:name w:val="Fußzei"/>
    <w:basedOn w:val="Standa"/>
    <w:pPr>
      <w:spacing w:after="0" w:line="240" w:lineRule="auto"/>
    </w:pPr>
    <w:rPr>
      <w:sz w:val="12"/>
      <w:szCs w:val="12"/>
    </w:rPr>
  </w:style>
  <w:style w:type="character" w:customStyle="1" w:styleId="FooterChar">
    <w:name w:val="Footer Char"/>
    <w:rPr>
      <w:rFonts w:cs="Times New Roman"/>
      <w:sz w:val="12"/>
      <w:lang w:val="de-DE" w:eastAsia="en-US"/>
    </w:rPr>
  </w:style>
  <w:style w:type="paragraph" w:customStyle="1" w:styleId="Sprechblasen">
    <w:name w:val="Sprechblasen"/>
    <w:basedOn w:val="Standa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</w:rPr>
  </w:style>
  <w:style w:type="character" w:styleId="Hyperlink">
    <w:name w:val="Hyperlink"/>
    <w:rPr>
      <w:rFonts w:cs="Times New Roman"/>
      <w:color w:val="0000FF"/>
      <w:u w:val="single"/>
    </w:rPr>
  </w:style>
  <w:style w:type="table" w:customStyle="1" w:styleId="Tabellengi">
    <w:name w:val="Tabellengi"/>
    <w:basedOn w:val="NormaleT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u">
    <w:name w:val="Datu"/>
    <w:basedOn w:val="Standa"/>
    <w:next w:val="Standa"/>
    <w:pPr>
      <w:spacing w:after="0" w:line="240" w:lineRule="auto"/>
    </w:pPr>
    <w:rPr>
      <w:sz w:val="20"/>
      <w:szCs w:val="20"/>
    </w:rPr>
  </w:style>
  <w:style w:type="character" w:customStyle="1" w:styleId="DateChar">
    <w:name w:val="Date Char"/>
    <w:rPr>
      <w:rFonts w:cs="Times New Roman"/>
      <w:lang w:val="de-DE" w:eastAsia="en-US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pPr>
      <w:jc w:val="both"/>
    </w:pPr>
    <w:rPr>
      <w:rFonts w:ascii="Arial" w:eastAsia="Arial" w:hAnsi="Arial"/>
      <w:noProof/>
      <w:sz w:val="20"/>
      <w:szCs w:val="20"/>
      <w:lang w:eastAsia="en-US"/>
    </w:rPr>
  </w:style>
  <w:style w:type="character" w:customStyle="1" w:styleId="DatumZchn">
    <w:name w:val="Datum Zchn"/>
    <w:link w:val="Datum"/>
    <w:uiPriority w:val="99"/>
    <w:semiHidden/>
    <w:rPr>
      <w:noProof/>
      <w:lang w:eastAsia="en-US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/>
    </w:p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loch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AA44D-24B5-4258-A570-D0B61B5E8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Ludwigshafen, den 7</vt:lpstr>
    </vt:vector>
  </TitlesOfParts>
  <Company>cyperfection gmbh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Ludwigshafen, den 7</dc:title>
  <dc:subject/>
  <dc:creator>Dessloch Marc</dc:creator>
  <cp:keywords/>
  <cp:lastModifiedBy>Stürmer Petra</cp:lastModifiedBy>
  <cp:revision>2</cp:revision>
  <cp:lastPrinted>2021-08-17T05:19:00Z</cp:lastPrinted>
  <dcterms:created xsi:type="dcterms:W3CDTF">2026-11-03T07:13:00Z</dcterms:created>
  <dcterms:modified xsi:type="dcterms:W3CDTF">2026-11-03T07:13:00Z</dcterms:modified>
</cp:coreProperties>
</file>