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tabs>
          <w:tab w:val="left" w:pos="6521"/>
          <w:tab w:val="left" w:pos="6663"/>
        </w:tabs>
        <w:spacing w:after="0"/>
        <w:jc w:val="right"/>
        <w:rPr>
          <w:rFonts w:ascii="Arial" w:eastAsia="Times New Roman" w:hAnsi="Arial" w:cs="Arial"/>
          <w:sz w:val="20"/>
          <w:szCs w:val="20"/>
          <w:lang w:eastAsia="de-DE" w:bidi="de-DE"/>
        </w:rPr>
      </w:pPr>
      <w:r>
        <w:rPr>
          <w:rFonts w:ascii="Arial" w:eastAsia="Times New Roman" w:hAnsi="Arial" w:cs="Arial"/>
          <w:sz w:val="20"/>
          <w:szCs w:val="20"/>
          <w:lang w:eastAsia="de-DE" w:bidi="de-DE"/>
        </w:rPr>
        <w:t>Ludwigshafen, den 15. Oktober 2026</w:t>
      </w:r>
    </w:p>
    <w:p>
      <w:pPr>
        <w:tabs>
          <w:tab w:val="left" w:pos="851"/>
        </w:tabs>
        <w:spacing w:after="0"/>
        <w:rPr>
          <w:rFonts w:ascii="Arial" w:eastAsia="Times New Roman" w:hAnsi="Arial" w:cs="Arial"/>
          <w:b/>
          <w:bCs/>
          <w:sz w:val="28"/>
          <w:szCs w:val="28"/>
          <w:lang w:eastAsia="de-DE" w:bidi="de-DE"/>
        </w:rPr>
      </w:pPr>
    </w:p>
    <w:p>
      <w:pPr>
        <w:tabs>
          <w:tab w:val="left" w:pos="851"/>
        </w:tabs>
        <w:spacing w:after="0"/>
        <w:rPr>
          <w:rFonts w:ascii="Arial" w:eastAsia="Times New Roman" w:hAnsi="Arial" w:cs="Arial"/>
          <w:b/>
          <w:bCs/>
          <w:sz w:val="28"/>
          <w:szCs w:val="28"/>
          <w:lang w:eastAsia="de-DE" w:bidi="de-DE"/>
        </w:rPr>
      </w:pPr>
      <w:r>
        <w:rPr>
          <w:rFonts w:ascii="Arial" w:eastAsia="Times New Roman" w:hAnsi="Arial" w:cs="Arial"/>
          <w:b/>
          <w:bCs/>
          <w:sz w:val="28"/>
          <w:szCs w:val="28"/>
          <w:lang w:eastAsia="de-DE" w:bidi="de-DE"/>
        </w:rPr>
        <w:t xml:space="preserve">Einladung: </w:t>
      </w:r>
      <w:bookmarkStart w:id="0" w:name="_Hlk242879953"/>
      <w:r>
        <w:rPr>
          <w:rFonts w:ascii="Arial" w:eastAsia="Times New Roman" w:hAnsi="Arial" w:cs="Arial"/>
          <w:b/>
          <w:bCs/>
          <w:sz w:val="28"/>
          <w:szCs w:val="28"/>
          <w:lang w:eastAsia="de-DE" w:bidi="de-DE"/>
        </w:rPr>
        <w:t>Die Unendlichkeit des Raumes</w:t>
      </w:r>
    </w:p>
    <w:p>
      <w:pPr>
        <w:tabs>
          <w:tab w:val="left" w:pos="851"/>
        </w:tabs>
        <w:spacing w:after="0"/>
        <w:rPr>
          <w:rFonts w:ascii="Arial" w:eastAsia="Times New Roman" w:hAnsi="Arial" w:cs="Arial"/>
          <w:b/>
          <w:bCs/>
          <w:sz w:val="28"/>
          <w:szCs w:val="28"/>
          <w:lang w:eastAsia="de-DE" w:bidi="de-DE"/>
        </w:rPr>
      </w:pPr>
      <w:r>
        <w:rPr>
          <w:rFonts w:ascii="Arial" w:eastAsia="Times New Roman" w:hAnsi="Arial" w:cs="Arial"/>
          <w:b/>
          <w:bCs/>
          <w:sz w:val="28"/>
          <w:szCs w:val="28"/>
          <w:lang w:eastAsia="de-DE" w:bidi="de-DE"/>
        </w:rPr>
        <w:t>Raumkonzepte in der Moderne</w:t>
      </w:r>
    </w:p>
    <w:p>
      <w:pPr>
        <w:tabs>
          <w:tab w:val="left" w:pos="851"/>
        </w:tabs>
        <w:spacing w:after="0"/>
        <w:rPr>
          <w:rFonts w:ascii="Arial" w:eastAsia="Arial" w:hAnsi="Arial" w:cs="Arial"/>
          <w:b/>
          <w:bCs/>
          <w:noProof/>
          <w:sz w:val="24"/>
          <w:szCs w:val="24"/>
        </w:rPr>
      </w:pPr>
      <w:r>
        <w:rPr>
          <w:rFonts w:ascii="Arial" w:eastAsia="Arial" w:hAnsi="Arial" w:cs="Arial"/>
          <w:b/>
          <w:bCs/>
          <w:noProof/>
          <w:sz w:val="24"/>
          <w:szCs w:val="24"/>
        </w:rPr>
        <w:t>31. Oktober 2026 bis 12. September 2027</w:t>
      </w:r>
    </w:p>
    <w:bookmarkEnd w:id="0"/>
    <w:p>
      <w:pPr>
        <w:tabs>
          <w:tab w:val="left" w:pos="851"/>
        </w:tabs>
        <w:spacing w:after="0"/>
        <w:rPr>
          <w:rFonts w:ascii="Arial" w:eastAsia="Arial" w:hAnsi="Arial" w:cs="Arial"/>
          <w:b/>
          <w:bCs/>
          <w:noProof/>
          <w:sz w:val="28"/>
          <w:szCs w:val="28"/>
        </w:rPr>
      </w:pPr>
    </w:p>
    <w:p>
      <w:pPr>
        <w:tabs>
          <w:tab w:val="left" w:pos="851"/>
        </w:tabs>
        <w:spacing w:after="0"/>
        <w:rPr>
          <w:rFonts w:ascii="Arial" w:eastAsia="Arial" w:hAnsi="Arial" w:cs="Arial"/>
          <w:b/>
          <w:bCs/>
          <w:noProof/>
          <w:sz w:val="24"/>
          <w:szCs w:val="24"/>
        </w:rPr>
      </w:pPr>
      <w:r>
        <w:rPr>
          <w:rFonts w:ascii="Arial" w:eastAsia="Arial" w:hAnsi="Arial" w:cs="Arial"/>
          <w:b/>
          <w:bCs/>
          <w:noProof/>
          <w:sz w:val="24"/>
          <w:szCs w:val="24"/>
        </w:rPr>
        <w:t>Presserundgang: Donnerstag, 29. Oktober 2026, 11 Uhr</w:t>
      </w:r>
    </w:p>
    <w:p>
      <w:pPr>
        <w:tabs>
          <w:tab w:val="left" w:pos="851"/>
        </w:tabs>
        <w:spacing w:after="0"/>
        <w:rPr>
          <w:rFonts w:ascii="Arial" w:eastAsia="Times New Roman" w:hAnsi="Arial" w:cs="Arial"/>
          <w:b/>
          <w:bCs/>
          <w:sz w:val="28"/>
          <w:szCs w:val="28"/>
          <w:lang w:eastAsia="de-DE" w:bidi="de-DE"/>
        </w:rPr>
      </w:pPr>
    </w:p>
    <w:p>
      <w:pPr>
        <w:tabs>
          <w:tab w:val="left" w:pos="851"/>
        </w:tabs>
        <w:spacing w:after="0"/>
        <w:rPr>
          <w:rFonts w:ascii="Arial" w:eastAsia="Times New Roman" w:hAnsi="Arial" w:cs="Arial"/>
          <w:b/>
          <w:bCs/>
          <w:sz w:val="28"/>
          <w:szCs w:val="28"/>
          <w:lang w:eastAsia="de-DE" w:bidi="de-DE"/>
        </w:rPr>
      </w:pPr>
    </w:p>
    <w:p>
      <w:pPr>
        <w:tabs>
          <w:tab w:val="left" w:pos="851"/>
        </w:tabs>
        <w:spacing w:after="0"/>
        <w:rPr>
          <w:rFonts w:ascii="Arial" w:eastAsia="Arial" w:hAnsi="Arial" w:cs="Arial"/>
          <w:b/>
          <w:bCs/>
          <w:noProof/>
        </w:rPr>
      </w:pPr>
    </w:p>
    <w:p>
      <w:pPr>
        <w:tabs>
          <w:tab w:val="left" w:pos="851"/>
        </w:tabs>
        <w:spacing w:after="0"/>
        <w:rPr>
          <w:rFonts w:ascii="Arial" w:eastAsia="Arial" w:hAnsi="Arial" w:cs="Arial"/>
          <w:b/>
          <w:bCs/>
          <w:noProof/>
        </w:rPr>
      </w:pPr>
      <w:r>
        <w:rPr>
          <w:rFonts w:ascii="Arial" w:eastAsia="Arial" w:hAnsi="Arial" w:cs="Arial"/>
          <w:bCs/>
          <w:noProof/>
          <w:lang w:eastAsia="de-DE"/>
        </w:rPr>
        <w:drawing>
          <wp:inline distT="0" distB="0" distL="0" distR="0">
            <wp:extent cx="5755640" cy="2058035"/>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55640" cy="2058035"/>
                    </a:xfrm>
                    <a:prstGeom prst="rect">
                      <a:avLst/>
                    </a:prstGeom>
                  </pic:spPr>
                </pic:pic>
              </a:graphicData>
            </a:graphic>
          </wp:inline>
        </w:drawing>
      </w:r>
    </w:p>
    <w:p>
      <w:pPr>
        <w:tabs>
          <w:tab w:val="left" w:pos="851"/>
        </w:tabs>
        <w:spacing w:after="0"/>
        <w:jc w:val="right"/>
        <w:rPr>
          <w:rFonts w:ascii="Arial" w:eastAsia="Arial" w:hAnsi="Arial" w:cs="Arial"/>
          <w:b/>
          <w:bCs/>
          <w:noProof/>
        </w:rPr>
      </w:pPr>
    </w:p>
    <w:p>
      <w:pPr>
        <w:tabs>
          <w:tab w:val="left" w:pos="851"/>
        </w:tabs>
        <w:spacing w:after="0"/>
        <w:jc w:val="right"/>
        <w:rPr>
          <w:rFonts w:ascii="Arial" w:eastAsia="Arial" w:hAnsi="Arial" w:cs="Arial"/>
          <w:b/>
          <w:bCs/>
          <w:noProof/>
          <w:sz w:val="28"/>
          <w:szCs w:val="28"/>
        </w:rPr>
      </w:pPr>
      <w:r>
        <w:rPr>
          <w:rFonts w:ascii="Arial" w:eastAsia="Arial" w:hAnsi="Arial" w:cs="Arial"/>
          <w:b/>
          <w:bCs/>
          <w:noProof/>
          <w:sz w:val="28"/>
          <w:szCs w:val="28"/>
        </w:rPr>
        <w:t>Kabinettstücke</w:t>
      </w:r>
    </w:p>
    <w:p>
      <w:pPr>
        <w:tabs>
          <w:tab w:val="left" w:pos="851"/>
        </w:tabs>
        <w:spacing w:after="0"/>
        <w:jc w:val="right"/>
        <w:rPr>
          <w:rFonts w:ascii="Arial" w:eastAsia="Arial" w:hAnsi="Arial" w:cs="Arial"/>
          <w:b/>
          <w:bCs/>
          <w:noProof/>
          <w:sz w:val="28"/>
          <w:szCs w:val="28"/>
        </w:rPr>
      </w:pPr>
      <w:r>
        <w:rPr>
          <w:rFonts w:ascii="Arial" w:eastAsia="Arial" w:hAnsi="Arial" w:cs="Arial"/>
          <w:b/>
          <w:bCs/>
          <w:noProof/>
          <w:sz w:val="28"/>
          <w:szCs w:val="28"/>
        </w:rPr>
        <w:t>In Ordnung.</w:t>
      </w:r>
    </w:p>
    <w:p>
      <w:pPr>
        <w:tabs>
          <w:tab w:val="left" w:pos="851"/>
        </w:tabs>
        <w:spacing w:after="0"/>
        <w:jc w:val="right"/>
        <w:rPr>
          <w:rFonts w:ascii="Arial" w:eastAsia="Arial" w:hAnsi="Arial" w:cs="Arial"/>
          <w:b/>
          <w:bCs/>
          <w:noProof/>
          <w:sz w:val="28"/>
          <w:szCs w:val="28"/>
        </w:rPr>
      </w:pPr>
      <w:r>
        <w:rPr>
          <w:rFonts w:ascii="Arial" w:eastAsia="Arial" w:hAnsi="Arial" w:cs="Arial"/>
          <w:b/>
          <w:bCs/>
          <w:noProof/>
          <w:sz w:val="28"/>
          <w:szCs w:val="28"/>
        </w:rPr>
        <w:t>Strukturprinzipien von Mondrian bis Vasarely</w:t>
      </w:r>
    </w:p>
    <w:p>
      <w:pPr>
        <w:tabs>
          <w:tab w:val="left" w:pos="851"/>
        </w:tabs>
        <w:spacing w:after="0"/>
        <w:jc w:val="right"/>
        <w:rPr>
          <w:rFonts w:ascii="Arial" w:eastAsia="Arial" w:hAnsi="Arial" w:cs="Arial"/>
          <w:b/>
          <w:bCs/>
          <w:noProof/>
        </w:rPr>
      </w:pPr>
      <w:r>
        <w:rPr>
          <w:rFonts w:ascii="Arial" w:eastAsia="Arial" w:hAnsi="Arial" w:cs="Arial"/>
          <w:b/>
          <w:bCs/>
          <w:noProof/>
        </w:rPr>
        <w:t>31. Oktober 2026 bis 29. März 2027</w:t>
      </w:r>
    </w:p>
    <w:p>
      <w:pPr>
        <w:tabs>
          <w:tab w:val="left" w:pos="851"/>
        </w:tabs>
        <w:spacing w:after="0"/>
        <w:jc w:val="right"/>
        <w:rPr>
          <w:rFonts w:ascii="Arial" w:eastAsia="Arial" w:hAnsi="Arial" w:cs="Arial"/>
          <w:b/>
          <w:bCs/>
          <w:noProof/>
        </w:rPr>
      </w:pPr>
    </w:p>
    <w:p>
      <w:pPr>
        <w:tabs>
          <w:tab w:val="left" w:pos="851"/>
        </w:tabs>
        <w:spacing w:after="0"/>
        <w:rPr>
          <w:rFonts w:ascii="Arial" w:eastAsia="Arial" w:hAnsi="Arial" w:cs="Arial"/>
          <w:b/>
          <w:bCs/>
          <w:noProof/>
          <w:sz w:val="28"/>
          <w:szCs w:val="28"/>
        </w:rPr>
      </w:pPr>
      <w:r>
        <w:rPr>
          <w:rFonts w:ascii="Arial" w:eastAsia="Arial" w:hAnsi="Arial" w:cs="Arial"/>
          <w:b/>
          <w:bCs/>
          <w:noProof/>
          <w:sz w:val="28"/>
          <w:szCs w:val="28"/>
        </w:rPr>
        <w:drawing>
          <wp:inline distT="0" distB="0" distL="0" distR="0">
            <wp:extent cx="5755640" cy="2058035"/>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55640" cy="2058035"/>
                    </a:xfrm>
                    <a:prstGeom prst="rect">
                      <a:avLst/>
                    </a:prstGeom>
                  </pic:spPr>
                </pic:pic>
              </a:graphicData>
            </a:graphic>
          </wp:inline>
        </w:drawing>
      </w:r>
    </w:p>
    <w:p>
      <w:pPr>
        <w:tabs>
          <w:tab w:val="left" w:pos="851"/>
        </w:tabs>
        <w:spacing w:after="0"/>
        <w:rPr>
          <w:rFonts w:ascii="Arial" w:eastAsia="Arial" w:hAnsi="Arial" w:cs="Arial"/>
          <w:b/>
          <w:bCs/>
          <w:noProof/>
        </w:rPr>
      </w:pPr>
    </w:p>
    <w:p>
      <w:pPr>
        <w:tabs>
          <w:tab w:val="left" w:pos="851"/>
        </w:tabs>
        <w:spacing w:after="0"/>
        <w:jc w:val="center"/>
        <w:rPr>
          <w:rFonts w:ascii="Arial" w:eastAsia="Times New Roman" w:hAnsi="Arial" w:cs="Arial"/>
          <w:noProof/>
          <w:lang w:eastAsia="de-DE"/>
        </w:rPr>
      </w:pP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t>/2</w:t>
      </w:r>
    </w:p>
    <w:p>
      <w:pPr>
        <w:tabs>
          <w:tab w:val="left" w:pos="851"/>
        </w:tabs>
        <w:spacing w:after="0"/>
        <w:jc w:val="both"/>
        <w:rPr>
          <w:rFonts w:ascii="Arial" w:eastAsia="Arial" w:hAnsi="Arial" w:cs="Arial"/>
          <w:bCs/>
          <w:noProof/>
          <w:lang w:eastAsia="de-DE"/>
        </w:rPr>
      </w:pPr>
      <w:r>
        <w:rPr>
          <w:rFonts w:ascii="Arial" w:eastAsia="Arial" w:hAnsi="Arial" w:cs="Arial"/>
          <w:bCs/>
          <w:noProof/>
          <w:lang w:eastAsia="de-DE"/>
        </w:rPr>
        <w:lastRenderedPageBreak/>
        <w:tab/>
      </w:r>
      <w:r>
        <w:rPr>
          <w:rFonts w:ascii="Arial" w:eastAsia="Arial" w:hAnsi="Arial" w:cs="Arial"/>
          <w:bCs/>
          <w:noProof/>
          <w:lang w:eastAsia="de-DE"/>
        </w:rPr>
        <w:tab/>
      </w:r>
      <w:r>
        <w:rPr>
          <w:rFonts w:ascii="Arial" w:eastAsia="Arial" w:hAnsi="Arial" w:cs="Arial"/>
          <w:bCs/>
          <w:noProof/>
          <w:lang w:eastAsia="de-DE"/>
        </w:rPr>
        <w:tab/>
      </w:r>
      <w:r>
        <w:rPr>
          <w:rFonts w:ascii="Arial" w:eastAsia="Arial" w:hAnsi="Arial" w:cs="Arial"/>
          <w:bCs/>
          <w:noProof/>
          <w:lang w:eastAsia="de-DE"/>
        </w:rPr>
        <w:tab/>
      </w:r>
      <w:r>
        <w:rPr>
          <w:rFonts w:ascii="Arial" w:eastAsia="Arial" w:hAnsi="Arial" w:cs="Arial"/>
          <w:bCs/>
          <w:noProof/>
          <w:lang w:eastAsia="de-DE"/>
        </w:rPr>
        <w:tab/>
      </w:r>
      <w:r>
        <w:rPr>
          <w:rFonts w:ascii="Arial" w:eastAsia="Arial" w:hAnsi="Arial" w:cs="Arial"/>
          <w:bCs/>
          <w:noProof/>
          <w:lang w:eastAsia="de-DE"/>
        </w:rPr>
        <w:tab/>
        <w:t>- 2 -</w:t>
      </w:r>
    </w:p>
    <w:p>
      <w:pPr>
        <w:tabs>
          <w:tab w:val="left" w:pos="851"/>
        </w:tabs>
        <w:spacing w:after="120"/>
        <w:jc w:val="both"/>
        <w:rPr>
          <w:rFonts w:ascii="Arial" w:eastAsia="Arial" w:hAnsi="Arial" w:cs="Arial"/>
          <w:bCs/>
          <w:noProof/>
          <w:lang w:eastAsia="de-DE"/>
        </w:rPr>
      </w:pPr>
    </w:p>
    <w:p>
      <w:pPr>
        <w:tabs>
          <w:tab w:val="left" w:pos="851"/>
        </w:tabs>
        <w:spacing w:after="120"/>
        <w:jc w:val="both"/>
        <w:rPr>
          <w:rFonts w:ascii="Arial" w:eastAsia="Arial" w:hAnsi="Arial" w:cs="Arial"/>
          <w:bCs/>
          <w:noProof/>
          <w:lang w:eastAsia="de-DE"/>
        </w:rPr>
      </w:pPr>
      <w:r>
        <w:rPr>
          <w:rFonts w:ascii="Arial" w:eastAsia="Arial" w:hAnsi="Arial" w:cs="Arial"/>
          <w:bCs/>
          <w:noProof/>
          <w:lang w:eastAsia="de-DE"/>
        </w:rPr>
        <w:t>Die neue Sammlungspräsentation des Wilhelm-Hack-Museums "Die Unendlichkeit des Raumes. Raumkonzepte in der Moderne" widmet sich den radikalen Neuerungen der Kunst des 20. Jahrhunderts hinsichtlich eines neuen Verständnisses des Bildraumes.</w:t>
      </w:r>
    </w:p>
    <w:p>
      <w:pPr>
        <w:tabs>
          <w:tab w:val="left" w:pos="851"/>
        </w:tabs>
        <w:spacing w:after="120"/>
        <w:jc w:val="both"/>
        <w:rPr>
          <w:rFonts w:ascii="Arial" w:eastAsia="Arial" w:hAnsi="Arial" w:cs="Arial"/>
          <w:bCs/>
          <w:noProof/>
          <w:lang w:eastAsia="de-DE"/>
        </w:rPr>
      </w:pPr>
      <w:r>
        <w:rPr>
          <w:rFonts w:ascii="Arial" w:eastAsia="Arial" w:hAnsi="Arial" w:cs="Arial"/>
          <w:bCs/>
          <w:noProof/>
          <w:lang w:eastAsia="de-DE"/>
        </w:rPr>
        <w:t>In den vorangegangenen Jahrhunderten wurde, mit der Erfindung der Zentralperspektive, das Bild als "offenes Fenster", als Blick auf eine andere Welt verstanden. Die Moderne hingegen beginnt, die illusionistische Malerei hinter sich zu lassen und stattdessen Bild und Wirklichkeit neu zu verknüpfen. Vom Expressionismus über Dada bis hin zum Surrealismus wird der Bildraum stark emotional aufgeladen. Parallel dazu löst sich mit dem Suprematismus und Konstruktivismus die Darstellung von jeglicher Gegenständlichkeit. Die Schnittstellen zwischen Architektur, Malerei und Bildhauerei werden in der zweiten Hälfte des 20. Jahrhunderts weiterverhandelt und neu ausgelotet. Dabei verweisen insbesondere Reliefarbeiten auf eine grundlegende Verbindung von Bild und Raum beziehungsweise Wandobjekt und Wirklichkeitsraum. Daneben entstehen ungegenständliche Malereien zwischen absoluter Flachheit und unendlicher Tiefe.</w:t>
      </w:r>
    </w:p>
    <w:p>
      <w:pPr>
        <w:tabs>
          <w:tab w:val="left" w:pos="851"/>
        </w:tabs>
        <w:spacing w:after="0"/>
        <w:jc w:val="both"/>
        <w:rPr>
          <w:rFonts w:ascii="Arial" w:eastAsia="Times New Roman" w:hAnsi="Arial" w:cs="Arial"/>
          <w:noProof/>
          <w:lang w:eastAsia="de-DE"/>
        </w:rPr>
      </w:pPr>
      <w:r>
        <w:rPr>
          <w:rFonts w:ascii="Arial" w:eastAsia="Arial" w:hAnsi="Arial" w:cs="Arial"/>
          <w:bCs/>
          <w:noProof/>
          <w:lang w:eastAsia="de-DE"/>
        </w:rPr>
        <w:t xml:space="preserve">Die Sammlungspräsentation "Die Unendlichkeit des Raumes. Raumkonzepte in der Moderne" zeichnet in sieben Kapiteln ein facettenreiches Bild der Transformation und Neuerfindung des künstlerischen Raumbegriffs im 20. und 21. Jahrhundert. Sie zeigt </w:t>
      </w:r>
      <w:r>
        <w:rPr>
          <w:rFonts w:ascii="Arial" w:eastAsia="Times New Roman" w:hAnsi="Arial" w:cs="Arial"/>
          <w:noProof/>
          <w:lang w:eastAsia="de-DE"/>
        </w:rPr>
        <w:t>Werke von Max Beckmann, Max Bill, Miriam Böhm, Gianni Colombo, Robert Delaunay, Georg Grosz, Ernst Ludwig Kirchner, El Lissitzky, Jean Metzinger, Gerold Miller, Piet Mondrian, Ljubow Popowa, Jean-Paul Riopelle, Thomas Ruff, Tomás Saraceno, Leon Polk Smith und anderen.</w:t>
      </w:r>
    </w:p>
    <w:p>
      <w:pPr>
        <w:tabs>
          <w:tab w:val="left" w:pos="851"/>
        </w:tabs>
        <w:spacing w:after="0"/>
        <w:jc w:val="both"/>
        <w:rPr>
          <w:rFonts w:ascii="Arial" w:eastAsia="Arial" w:hAnsi="Arial" w:cs="Arial"/>
          <w:bCs/>
          <w:noProof/>
          <w:lang w:eastAsia="de-DE"/>
        </w:rPr>
      </w:pPr>
    </w:p>
    <w:p>
      <w:pPr>
        <w:tabs>
          <w:tab w:val="left" w:pos="851"/>
        </w:tabs>
        <w:spacing w:after="120"/>
        <w:jc w:val="both"/>
        <w:rPr>
          <w:rFonts w:ascii="Arial" w:eastAsia="Arial" w:hAnsi="Arial" w:cs="Arial"/>
          <w:bCs/>
          <w:noProof/>
          <w:lang w:eastAsia="de-DE"/>
        </w:rPr>
      </w:pPr>
      <w:r>
        <w:rPr>
          <w:rFonts w:ascii="Arial" w:eastAsia="Arial" w:hAnsi="Arial" w:cs="Arial"/>
          <w:bCs/>
          <w:noProof/>
          <w:lang w:eastAsia="de-DE"/>
        </w:rPr>
        <w:t xml:space="preserve">Das neue Kabinettstück "In Ordnung. Strukturprinzipien von Mondrian bis Vasarely" verhandelt das Raster als autonomes Bildthema, welches erstmals zu Beginn des 20. Jahrhunderts innerhalb der geometrischen Abstraktion auftaucht. </w:t>
      </w:r>
    </w:p>
    <w:p>
      <w:pPr>
        <w:tabs>
          <w:tab w:val="left" w:pos="851"/>
        </w:tabs>
        <w:spacing w:after="120"/>
        <w:jc w:val="both"/>
        <w:rPr>
          <w:rFonts w:ascii="Arial" w:eastAsia="Arial" w:hAnsi="Arial" w:cs="Arial"/>
          <w:bCs/>
          <w:noProof/>
          <w:lang w:eastAsia="de-DE"/>
        </w:rPr>
      </w:pPr>
      <w:r>
        <w:rPr>
          <w:rFonts w:ascii="Arial" w:eastAsia="Arial" w:hAnsi="Arial" w:cs="Arial"/>
          <w:bCs/>
          <w:noProof/>
          <w:lang w:eastAsia="de-DE"/>
        </w:rPr>
        <w:t>Hiervon ausgehend zeigt die Ausstellung das reiche Spektrum scheinbar einfacher Strukturprinzipien in der zweiten Hälfte des 20. Jahrhunderts. Die Grafikmappen von Max Bill und Attila Kovács basieren beispielsweise auf präzisen, aufeinander bezogenen Systemen, wobei das Quadrat als Ausgangspunkt ihrer Analysen dient. Zeitgleich untersuchen die ZERO-Bewegung und ihr internationales Umfeld unterschiedliche Aspekte des Rasters: Ob präzise geordnet oder malerisch ausgeführt, insbesondere das Spiel von Licht und Schatten erzeugt eine neue Dynamik, die trotz der reduzierten Bildgestaltung visuell eindrucksvolle Arbeiten entstehen lässt. Rhythmus und Wiederholung werden zwei wichtige Gestaltungsprinzipien in Werken der OP-Art und spielen ebenso als Rasterpunkte bei Roy Lichtenstein oder Sigmar Polke eine bedeutende Rolle.</w:t>
      </w:r>
    </w:p>
    <w:p>
      <w:pPr>
        <w:tabs>
          <w:tab w:val="left" w:pos="851"/>
        </w:tabs>
        <w:spacing w:after="0"/>
        <w:jc w:val="both"/>
        <w:rPr>
          <w:rFonts w:ascii="Arial" w:eastAsia="Times New Roman" w:hAnsi="Arial" w:cs="Arial"/>
          <w:noProof/>
          <w:lang w:eastAsia="de-DE"/>
        </w:rPr>
      </w:pPr>
      <w:r>
        <w:rPr>
          <w:rFonts w:ascii="Arial" w:eastAsia="Times New Roman" w:hAnsi="Arial" w:cs="Arial"/>
          <w:noProof/>
          <w:lang w:eastAsia="de-DE"/>
        </w:rPr>
        <w:t xml:space="preserve">Das Kabinettstück </w:t>
      </w:r>
      <w:r>
        <w:rPr>
          <w:rFonts w:ascii="Arial" w:eastAsia="Arial" w:hAnsi="Arial" w:cs="Arial"/>
          <w:bCs/>
          <w:noProof/>
          <w:lang w:eastAsia="de-DE"/>
        </w:rPr>
        <w:t>"In Ordnung. Strukturprinzipien von Mondrian bis Vasarely" präsentiert Werke</w:t>
      </w:r>
      <w:r>
        <w:rPr>
          <w:rFonts w:ascii="Arial" w:eastAsia="Times New Roman" w:hAnsi="Arial" w:cs="Arial"/>
          <w:noProof/>
          <w:lang w:eastAsia="de-DE"/>
        </w:rPr>
        <w:t xml:space="preserve"> von Josef Albers, Thomas Bayrle, Max Bill, Enrico Castellani, Carlos Cruz-Diez, Vilmos </w:t>
      </w:r>
    </w:p>
    <w:p>
      <w:pPr>
        <w:tabs>
          <w:tab w:val="left" w:pos="851"/>
        </w:tabs>
        <w:spacing w:after="0"/>
        <w:jc w:val="both"/>
        <w:rPr>
          <w:rFonts w:ascii="Arial" w:eastAsia="Times New Roman" w:hAnsi="Arial" w:cs="Arial"/>
          <w:noProof/>
          <w:lang w:eastAsia="de-DE"/>
        </w:rPr>
      </w:pPr>
    </w:p>
    <w:p>
      <w:pPr>
        <w:tabs>
          <w:tab w:val="left" w:pos="851"/>
        </w:tabs>
        <w:spacing w:after="0"/>
        <w:jc w:val="both"/>
        <w:rPr>
          <w:rFonts w:ascii="Arial" w:eastAsia="Times New Roman" w:hAnsi="Arial" w:cs="Arial"/>
          <w:noProof/>
          <w:lang w:eastAsia="de-DE"/>
        </w:rPr>
      </w:pP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r>
      <w:r>
        <w:rPr>
          <w:rFonts w:ascii="Arial" w:eastAsia="Times New Roman" w:hAnsi="Arial" w:cs="Arial"/>
          <w:noProof/>
          <w:lang w:eastAsia="de-DE"/>
        </w:rPr>
        <w:tab/>
        <w:t>/3</w:t>
      </w:r>
    </w:p>
    <w:p>
      <w:pPr>
        <w:tabs>
          <w:tab w:val="left" w:pos="851"/>
        </w:tabs>
        <w:spacing w:after="0"/>
        <w:jc w:val="center"/>
        <w:rPr>
          <w:rFonts w:ascii="Arial" w:eastAsia="Times New Roman" w:hAnsi="Arial" w:cs="Arial"/>
          <w:noProof/>
          <w:lang w:eastAsia="de-DE"/>
        </w:rPr>
      </w:pPr>
      <w:r>
        <w:rPr>
          <w:rFonts w:ascii="Arial" w:eastAsia="Times New Roman" w:hAnsi="Arial" w:cs="Arial"/>
          <w:noProof/>
          <w:lang w:eastAsia="de-DE"/>
        </w:rPr>
        <w:lastRenderedPageBreak/>
        <w:t>- 3 -</w:t>
      </w:r>
    </w:p>
    <w:p>
      <w:pPr>
        <w:tabs>
          <w:tab w:val="left" w:pos="851"/>
        </w:tabs>
        <w:spacing w:after="0"/>
        <w:jc w:val="both"/>
        <w:rPr>
          <w:rFonts w:ascii="Arial" w:eastAsia="Times New Roman" w:hAnsi="Arial" w:cs="Arial"/>
          <w:noProof/>
          <w:lang w:eastAsia="de-DE"/>
        </w:rPr>
      </w:pPr>
    </w:p>
    <w:p>
      <w:pPr>
        <w:tabs>
          <w:tab w:val="left" w:pos="851"/>
        </w:tabs>
        <w:spacing w:after="0"/>
        <w:jc w:val="both"/>
        <w:rPr>
          <w:rFonts w:ascii="Arial" w:eastAsia="Times New Roman" w:hAnsi="Arial" w:cs="Arial"/>
          <w:noProof/>
          <w:lang w:eastAsia="de-DE"/>
        </w:rPr>
      </w:pPr>
      <w:r>
        <w:rPr>
          <w:rFonts w:ascii="Arial" w:eastAsia="Times New Roman" w:hAnsi="Arial" w:cs="Arial"/>
          <w:noProof/>
          <w:lang w:eastAsia="de-DE"/>
        </w:rPr>
        <w:t>Huszár, Attila Kovács, Vera Molnár, Piet Mondrian, François Morellet, Roy Lichtenstein, Sigmar Polke, Frank Stella, Günther Uecker, Timm Ulrichs, Victor Vasarely und andere.</w:t>
      </w:r>
    </w:p>
    <w:p>
      <w:pPr>
        <w:tabs>
          <w:tab w:val="left" w:pos="851"/>
        </w:tabs>
        <w:spacing w:after="0"/>
        <w:jc w:val="both"/>
        <w:rPr>
          <w:rFonts w:ascii="Arial" w:eastAsia="Times New Roman" w:hAnsi="Arial" w:cs="Arial"/>
          <w:noProof/>
          <w:lang w:eastAsia="de-DE"/>
        </w:rPr>
      </w:pPr>
    </w:p>
    <w:p>
      <w:pPr>
        <w:tabs>
          <w:tab w:val="left" w:pos="851"/>
        </w:tabs>
        <w:spacing w:after="0"/>
        <w:jc w:val="both"/>
        <w:rPr>
          <w:rFonts w:ascii="Arial" w:eastAsia="Times New Roman" w:hAnsi="Arial" w:cs="Arial"/>
          <w:noProof/>
          <w:lang w:eastAsia="de-DE"/>
        </w:rPr>
      </w:pPr>
      <w:r>
        <w:rPr>
          <w:rFonts w:ascii="Arial" w:eastAsia="Times New Roman" w:hAnsi="Arial" w:cs="Arial"/>
          <w:noProof/>
          <w:lang w:eastAsia="de-DE"/>
        </w:rPr>
        <w:t>Zur Sammlungspräsentation "Die Unendlichkeit des Raumes. Raumkonzepte in der Moderne" erscheint ein Begleitheft. Ebenso wird es einen Audioguide zur Ausstellung geben.</w:t>
      </w:r>
    </w:p>
    <w:p>
      <w:pPr>
        <w:tabs>
          <w:tab w:val="left" w:pos="851"/>
        </w:tabs>
        <w:spacing w:after="0"/>
        <w:jc w:val="both"/>
        <w:rPr>
          <w:rFonts w:ascii="Arial" w:eastAsia="Times New Roman" w:hAnsi="Arial" w:cs="Arial"/>
          <w:noProof/>
          <w:lang w:eastAsia="de-DE"/>
        </w:rPr>
      </w:pPr>
    </w:p>
    <w:p>
      <w:pPr>
        <w:tabs>
          <w:tab w:val="left" w:pos="851"/>
        </w:tabs>
        <w:spacing w:after="0"/>
        <w:jc w:val="both"/>
        <w:rPr>
          <w:rFonts w:ascii="Arial" w:eastAsia="Times New Roman" w:hAnsi="Arial" w:cs="Arial"/>
          <w:noProof/>
          <w:lang w:eastAsia="de-DE"/>
        </w:rPr>
      </w:pPr>
      <w:r>
        <w:rPr>
          <w:rFonts w:ascii="Arial" w:eastAsia="Times New Roman" w:hAnsi="Arial" w:cs="Arial"/>
          <w:noProof/>
          <w:lang w:eastAsia="de-DE"/>
        </w:rPr>
        <w:t>Eröffnet werden die beiden Ausstellungen am Freitag, 30. Oktober 2026, um 18 Uhr. Zur Eröffnung sprechen René Zechlin, der Direktor des Wilhelm-Hack-Museums, sowie Stefanie Kleinsorge, Bereichsleitung Kultur der Stadt Ludwigshafen am Rhein, und Claudia Paul, Geschäftsführerin der Sammlung Prinzhorn. Eine Einführung in die Ausstellung gibt die Kuratorin Julia Nebenführ. Für musikalische Begleitung sorgt Juliana Saib am Jazzklavier.</w:t>
      </w:r>
    </w:p>
    <w:p>
      <w:pPr>
        <w:tabs>
          <w:tab w:val="left" w:pos="851"/>
        </w:tabs>
        <w:spacing w:after="0"/>
        <w:jc w:val="both"/>
        <w:rPr>
          <w:rFonts w:ascii="Arial" w:eastAsia="Times New Roman" w:hAnsi="Arial" w:cs="Arial"/>
          <w:noProof/>
          <w:lang w:eastAsia="de-DE"/>
        </w:rPr>
      </w:pPr>
    </w:p>
    <w:p>
      <w:pPr>
        <w:tabs>
          <w:tab w:val="left" w:pos="851"/>
        </w:tabs>
        <w:spacing w:after="0"/>
        <w:jc w:val="both"/>
        <w:rPr>
          <w:rFonts w:ascii="Arial" w:eastAsia="Times New Roman" w:hAnsi="Arial" w:cs="Arial"/>
          <w:noProof/>
          <w:lang w:eastAsia="de-DE"/>
        </w:rPr>
      </w:pPr>
      <w:r>
        <w:rPr>
          <w:rFonts w:ascii="Arial" w:eastAsia="Times New Roman" w:hAnsi="Arial" w:cs="Arial"/>
          <w:noProof/>
          <w:lang w:eastAsia="de-DE"/>
        </w:rPr>
        <w:t xml:space="preserve">Zum Presserundgang am </w:t>
      </w:r>
    </w:p>
    <w:p>
      <w:pPr>
        <w:tabs>
          <w:tab w:val="left" w:pos="851"/>
        </w:tabs>
        <w:spacing w:after="0"/>
        <w:jc w:val="both"/>
        <w:rPr>
          <w:rFonts w:ascii="Arial" w:eastAsia="Times New Roman" w:hAnsi="Arial" w:cs="Arial"/>
          <w:noProof/>
          <w:lang w:eastAsia="de-DE"/>
        </w:rPr>
      </w:pPr>
    </w:p>
    <w:p>
      <w:pPr>
        <w:tabs>
          <w:tab w:val="left" w:pos="851"/>
        </w:tabs>
        <w:spacing w:after="0"/>
        <w:jc w:val="center"/>
        <w:rPr>
          <w:rFonts w:ascii="Arial" w:eastAsia="Times New Roman" w:hAnsi="Arial" w:cs="Arial"/>
          <w:b/>
          <w:bCs/>
          <w:noProof/>
          <w:lang w:eastAsia="de-DE"/>
        </w:rPr>
      </w:pPr>
      <w:bookmarkStart w:id="1" w:name="_Hlk242879883"/>
      <w:r>
        <w:rPr>
          <w:rFonts w:ascii="Arial" w:eastAsia="Times New Roman" w:hAnsi="Arial" w:cs="Arial"/>
          <w:b/>
          <w:bCs/>
          <w:noProof/>
          <w:lang w:eastAsia="de-DE"/>
        </w:rPr>
        <w:t xml:space="preserve">Donnerstag, 29. Oktober 2026, 11 Uhr, </w:t>
      </w:r>
      <w:r>
        <w:rPr>
          <w:rFonts w:ascii="Arial" w:eastAsia="Times New Roman" w:hAnsi="Arial" w:cs="Arial"/>
          <w:b/>
          <w:bCs/>
          <w:noProof/>
          <w:lang w:eastAsia="de-DE"/>
        </w:rPr>
        <w:br/>
        <w:t>Wilhelm-Hack-Museum, Berliner Straße 23,</w:t>
      </w:r>
    </w:p>
    <w:p>
      <w:pPr>
        <w:tabs>
          <w:tab w:val="left" w:pos="851"/>
        </w:tabs>
        <w:spacing w:after="0"/>
        <w:jc w:val="both"/>
        <w:rPr>
          <w:rFonts w:ascii="Arial" w:eastAsia="Times New Roman" w:hAnsi="Arial" w:cs="Arial"/>
          <w:noProof/>
          <w:lang w:eastAsia="de-DE"/>
        </w:rPr>
      </w:pPr>
    </w:p>
    <w:bookmarkEnd w:id="1"/>
    <w:p>
      <w:pPr>
        <w:tabs>
          <w:tab w:val="left" w:pos="851"/>
        </w:tabs>
        <w:spacing w:after="0"/>
        <w:jc w:val="both"/>
        <w:rPr>
          <w:rFonts w:ascii="Arial" w:eastAsia="Times New Roman" w:hAnsi="Arial" w:cs="Arial"/>
          <w:noProof/>
          <w:lang w:eastAsia="de-DE"/>
        </w:rPr>
      </w:pPr>
      <w:r>
        <w:rPr>
          <w:rFonts w:ascii="Arial" w:eastAsia="Times New Roman" w:hAnsi="Arial" w:cs="Arial"/>
          <w:noProof/>
          <w:lang w:eastAsia="de-DE"/>
        </w:rPr>
        <w:t xml:space="preserve">mit René Zechlin, Museumsdirektor, und Julia Nebenführ, Kuratorin der Ausstellungen, laden wir Sie herzlich ein. </w:t>
      </w:r>
    </w:p>
    <w:p>
      <w:pPr>
        <w:tabs>
          <w:tab w:val="left" w:pos="851"/>
        </w:tabs>
        <w:spacing w:after="0"/>
        <w:jc w:val="both"/>
        <w:rPr>
          <w:rFonts w:ascii="Arial" w:eastAsia="Times New Roman" w:hAnsi="Arial" w:cs="Arial"/>
          <w:noProof/>
          <w:lang w:eastAsia="de-DE"/>
        </w:rPr>
      </w:pPr>
    </w:p>
    <w:p>
      <w:pPr>
        <w:tabs>
          <w:tab w:val="left" w:pos="851"/>
        </w:tabs>
        <w:spacing w:after="0"/>
        <w:jc w:val="both"/>
        <w:rPr>
          <w:rFonts w:ascii="Arial" w:eastAsia="Arial" w:hAnsi="Arial" w:cs="Arial"/>
          <w:bCs/>
          <w:noProof/>
        </w:rPr>
      </w:pPr>
      <w:r>
        <w:rPr>
          <w:rFonts w:ascii="Arial" w:eastAsia="Arial" w:hAnsi="Arial" w:cs="Arial"/>
          <w:bCs/>
          <w:noProof/>
        </w:rPr>
        <w:t xml:space="preserve">Pressebilder können Sie im </w:t>
      </w:r>
      <w:hyperlink r:id="rId10" w:history="1">
        <w:r>
          <w:rPr>
            <w:rStyle w:val="Hyperlink"/>
            <w:rFonts w:ascii="Arial" w:eastAsia="Arial" w:hAnsi="Arial" w:cs="Arial"/>
            <w:bCs/>
            <w:noProof/>
          </w:rPr>
          <w:t>Pressebereich</w:t>
        </w:r>
      </w:hyperlink>
      <w:r>
        <w:rPr>
          <w:rFonts w:ascii="Arial" w:eastAsia="Arial" w:hAnsi="Arial" w:cs="Arial"/>
          <w:bCs/>
          <w:noProof/>
        </w:rPr>
        <w:t xml:space="preserve"> unserer Webseite mit folgenden Zugangsdaten downloaden:</w:t>
      </w:r>
    </w:p>
    <w:p>
      <w:pPr>
        <w:tabs>
          <w:tab w:val="left" w:pos="851"/>
        </w:tabs>
        <w:spacing w:after="0"/>
        <w:jc w:val="both"/>
        <w:rPr>
          <w:rFonts w:ascii="Arial" w:eastAsia="Arial" w:hAnsi="Arial" w:cs="Arial"/>
          <w:bCs/>
          <w:noProof/>
        </w:rPr>
      </w:pPr>
      <w:r>
        <w:rPr>
          <w:rFonts w:ascii="Arial" w:eastAsia="Arial" w:hAnsi="Arial" w:cs="Arial"/>
          <w:bCs/>
          <w:noProof/>
        </w:rPr>
        <w:t xml:space="preserve">Webseite: </w:t>
      </w:r>
      <w:hyperlink r:id="rId11" w:history="1">
        <w:r>
          <w:rPr>
            <w:rStyle w:val="Hyperlink"/>
            <w:rFonts w:ascii="Arial" w:eastAsia="Arial" w:hAnsi="Arial" w:cs="Arial"/>
            <w:bCs/>
            <w:noProof/>
          </w:rPr>
          <w:t>https://www.wilhelmhack.museum/de/presse/download-pressebereich</w:t>
        </w:r>
      </w:hyperlink>
      <w:r>
        <w:rPr>
          <w:rFonts w:ascii="Arial" w:eastAsia="Arial" w:hAnsi="Arial" w:cs="Arial"/>
          <w:bCs/>
          <w:noProof/>
        </w:rPr>
        <w:t xml:space="preserve"> </w:t>
      </w:r>
    </w:p>
    <w:p>
      <w:pPr>
        <w:tabs>
          <w:tab w:val="left" w:pos="851"/>
        </w:tabs>
        <w:spacing w:after="0"/>
        <w:jc w:val="both"/>
        <w:rPr>
          <w:rFonts w:ascii="Arial" w:eastAsia="Arial" w:hAnsi="Arial" w:cs="Arial"/>
          <w:bCs/>
          <w:noProof/>
        </w:rPr>
      </w:pPr>
      <w:r>
        <w:rPr>
          <w:rFonts w:ascii="Arial" w:eastAsia="Arial" w:hAnsi="Arial" w:cs="Arial"/>
          <w:bCs/>
          <w:noProof/>
        </w:rPr>
        <w:t>Benutzer*in: presse</w:t>
      </w:r>
    </w:p>
    <w:p>
      <w:pPr>
        <w:tabs>
          <w:tab w:val="left" w:pos="851"/>
        </w:tabs>
        <w:spacing w:after="0"/>
        <w:jc w:val="both"/>
        <w:rPr>
          <w:rFonts w:ascii="Arial" w:eastAsia="Arial" w:hAnsi="Arial" w:cs="Arial"/>
          <w:bCs/>
          <w:noProof/>
        </w:rPr>
      </w:pPr>
      <w:r>
        <w:rPr>
          <w:rFonts w:ascii="Arial" w:eastAsia="Arial" w:hAnsi="Arial" w:cs="Arial"/>
          <w:bCs/>
          <w:noProof/>
        </w:rPr>
        <w:t>Passwort: presse2019</w:t>
      </w:r>
    </w:p>
    <w:p>
      <w:pPr>
        <w:tabs>
          <w:tab w:val="left" w:pos="851"/>
        </w:tabs>
        <w:spacing w:after="0"/>
        <w:jc w:val="both"/>
        <w:rPr>
          <w:rFonts w:ascii="Arial" w:eastAsia="Arial" w:hAnsi="Arial" w:cs="Arial"/>
          <w:bCs/>
          <w:noProof/>
        </w:rPr>
      </w:pPr>
    </w:p>
    <w:p>
      <w:pPr>
        <w:spacing w:after="0"/>
        <w:jc w:val="both"/>
        <w:rPr>
          <w:rStyle w:val="Hyperlink"/>
          <w:rFonts w:ascii="Arial" w:hAnsi="Arial" w:cs="Arial"/>
          <w:color w:val="auto"/>
          <w:u w:val="none"/>
        </w:rPr>
      </w:pPr>
      <w:r>
        <w:rPr>
          <w:rFonts w:ascii="Arial" w:hAnsi="Arial" w:cs="Arial"/>
          <w:b/>
        </w:rPr>
        <w:t>Pressekontakt:</w:t>
      </w:r>
      <w:r>
        <w:rPr>
          <w:rFonts w:ascii="Arial" w:hAnsi="Arial" w:cs="Arial"/>
          <w:b/>
        </w:rPr>
        <w:br/>
      </w:r>
      <w:r>
        <w:rPr>
          <w:rStyle w:val="Hyperlink"/>
          <w:rFonts w:ascii="Arial" w:hAnsi="Arial" w:cs="Arial"/>
          <w:color w:val="auto"/>
          <w:u w:val="none"/>
        </w:rPr>
        <w:t xml:space="preserve">Maren Weiler (Wissenschaftliche Volontärin Presse- und Öffentlichkeitsarbeit), Berliner Straße </w:t>
      </w:r>
    </w:p>
    <w:p>
      <w:pPr>
        <w:spacing w:after="0"/>
        <w:jc w:val="both"/>
        <w:rPr>
          <w:rStyle w:val="Hyperlink"/>
          <w:rFonts w:ascii="Arial" w:hAnsi="Arial" w:cs="Arial"/>
          <w:color w:val="auto"/>
          <w:u w:val="none"/>
        </w:rPr>
      </w:pPr>
      <w:r>
        <w:rPr>
          <w:rStyle w:val="Hyperlink"/>
          <w:rFonts w:ascii="Arial" w:hAnsi="Arial" w:cs="Arial"/>
          <w:color w:val="auto"/>
          <w:u w:val="none"/>
        </w:rPr>
        <w:t xml:space="preserve">23, 67059 Ludwigshafen am Rhein, Telefon 0621 504-2934 E-Mail </w:t>
      </w:r>
    </w:p>
    <w:p>
      <w:pPr>
        <w:spacing w:after="0"/>
        <w:jc w:val="both"/>
        <w:rPr>
          <w:rStyle w:val="Hyperlink"/>
          <w:rFonts w:ascii="Arial" w:hAnsi="Arial" w:cs="Arial"/>
          <w:color w:val="auto"/>
          <w:u w:val="none"/>
        </w:rPr>
      </w:pPr>
      <w:hyperlink r:id="rId12" w:history="1">
        <w:r>
          <w:rPr>
            <w:rStyle w:val="Hyperlink"/>
            <w:rFonts w:ascii="Arial" w:hAnsi="Arial" w:cs="Arial"/>
          </w:rPr>
          <w:t>maren.weiler@ludwigshafen.de</w:t>
        </w:r>
      </w:hyperlink>
      <w:r>
        <w:rPr>
          <w:rStyle w:val="Hyperlink"/>
          <w:rFonts w:ascii="Arial" w:hAnsi="Arial" w:cs="Arial"/>
          <w:color w:val="auto"/>
          <w:u w:val="none"/>
        </w:rPr>
        <w:t>.</w:t>
      </w:r>
    </w:p>
    <w:p>
      <w:pPr>
        <w:spacing w:after="0"/>
        <w:jc w:val="both"/>
        <w:rPr>
          <w:rFonts w:ascii="Arial" w:hAnsi="Arial" w:cs="Arial"/>
          <w:u w:val="single"/>
        </w:rPr>
      </w:pPr>
    </w:p>
    <w:p>
      <w:pPr>
        <w:jc w:val="both"/>
        <w:rPr>
          <w:rFonts w:ascii="Arial" w:hAnsi="Arial" w:cs="Arial"/>
          <w:b/>
        </w:rPr>
      </w:pPr>
      <w:r>
        <w:rPr>
          <w:rFonts w:ascii="Arial" w:hAnsi="Arial" w:cs="Arial"/>
          <w:b/>
          <w:noProof/>
        </w:rPr>
        <mc:AlternateContent>
          <mc:Choice Requires="wps">
            <w:drawing>
              <wp:anchor distT="45720" distB="45720" distL="114300" distR="114300" simplePos="0" relativeHeight="251661312" behindDoc="1" locked="0" layoutInCell="1" allowOverlap="1">
                <wp:simplePos x="0" y="0"/>
                <wp:positionH relativeFrom="column">
                  <wp:posOffset>1865933</wp:posOffset>
                </wp:positionH>
                <wp:positionV relativeFrom="paragraph">
                  <wp:posOffset>306070</wp:posOffset>
                </wp:positionV>
                <wp:extent cx="1049020" cy="285750"/>
                <wp:effectExtent l="0" t="0" r="17780" b="1905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020" cy="285750"/>
                        </a:xfrm>
                        <a:prstGeom prst="rect">
                          <a:avLst/>
                        </a:prstGeom>
                        <a:solidFill>
                          <a:srgbClr val="FFFFFF"/>
                        </a:solidFill>
                        <a:ln w="9525">
                          <a:solidFill>
                            <a:schemeClr val="bg1"/>
                          </a:solidFill>
                          <a:miter lim="800000"/>
                          <a:headEnd/>
                          <a:tailEnd/>
                        </a:ln>
                      </wps:spPr>
                      <wps:txbx>
                        <w:txbxContent>
                          <w:p>
                            <w:r>
                              <w:t>Kulturpartner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left:0;text-align:left;margin-left:146.9pt;margin-top:24.1pt;width:82.6pt;height:22.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" strokecolor="white [3212]">
                <v:textbox>
                  <w:txbxContent>
                    <w:p>
                      <w:r>
                        <w:t>Kulturpartner</w:t>
                      </w:r>
                    </w:p>
                  </w:txbxContent>
                </v:textbox>
              </v:shape>
            </w:pict>
          </mc:Fallback>
        </mc:AlternateContent>
      </w:r>
    </w:p>
    <w:p>
      <w:pPr>
        <w:jc w:val="both"/>
        <w:rPr>
          <w:rFonts w:ascii="Arial" w:hAnsi="Arial" w:cs="Arial"/>
          <w:b/>
        </w:rPr>
      </w:pPr>
      <w:r>
        <w:rPr>
          <w:rFonts w:ascii="Arial" w:hAnsi="Arial" w:cs="Arial"/>
          <w:b/>
          <w:noProof/>
        </w:rPr>
        <w:drawing>
          <wp:anchor distT="0" distB="0" distL="114300" distR="114300" simplePos="0" relativeHeight="251659264" behindDoc="0" locked="0" layoutInCell="1" allowOverlap="1">
            <wp:simplePos x="0" y="0"/>
            <wp:positionH relativeFrom="margin">
              <wp:posOffset>1949450</wp:posOffset>
            </wp:positionH>
            <wp:positionV relativeFrom="page">
              <wp:posOffset>7137400</wp:posOffset>
            </wp:positionV>
            <wp:extent cx="946150" cy="456565"/>
            <wp:effectExtent l="0" t="0" r="6350" b="635"/>
            <wp:wrapThrough wrapText="bothSides">
              <wp:wrapPolygon edited="0">
                <wp:start x="0" y="0"/>
                <wp:lineTo x="0" y="20729"/>
                <wp:lineTo x="21310" y="20729"/>
                <wp:lineTo x="21310" y="0"/>
                <wp:lineTo x="0" y="0"/>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46150" cy="456565"/>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Times New Roman" w:hAnsi="Arial" w:cs="Arial"/>
          <w:noProof/>
          <w:lang w:eastAsia="de-DE"/>
        </w:rPr>
        <w:drawing>
          <wp:anchor distT="0" distB="0" distL="114300" distR="114300" simplePos="0" relativeHeight="251658240" behindDoc="0" locked="0" layoutInCell="1" allowOverlap="1">
            <wp:simplePos x="0" y="0"/>
            <wp:positionH relativeFrom="margin">
              <wp:align>left</wp:align>
            </wp:positionH>
            <wp:positionV relativeFrom="margin">
              <wp:posOffset>5867400</wp:posOffset>
            </wp:positionV>
            <wp:extent cx="1343660" cy="671830"/>
            <wp:effectExtent l="0" t="0" r="8890" b="0"/>
            <wp:wrapThrough wrapText="bothSides">
              <wp:wrapPolygon edited="0">
                <wp:start x="0" y="0"/>
                <wp:lineTo x="0" y="20824"/>
                <wp:lineTo x="21437" y="20824"/>
                <wp:lineTo x="21437" y="0"/>
                <wp:lineTo x="0" y="0"/>
              </wp:wrapPolygon>
            </wp:wrapThrough>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43660" cy="671830"/>
                    </a:xfrm>
                    <a:prstGeom prst="rect">
                      <a:avLst/>
                    </a:prstGeom>
                  </pic:spPr>
                </pic:pic>
              </a:graphicData>
            </a:graphic>
            <wp14:sizeRelH relativeFrom="margin">
              <wp14:pctWidth>0</wp14:pctWidth>
            </wp14:sizeRelH>
            <wp14:sizeRelV relativeFrom="margin">
              <wp14:pctHeight>0</wp14:pctHeight>
            </wp14:sizeRelV>
          </wp:anchor>
        </w:drawing>
      </w:r>
    </w:p>
    <w:p>
      <w:pPr>
        <w:jc w:val="both"/>
        <w:rPr>
          <w:rFonts w:ascii="Arial" w:hAnsi="Arial" w:cs="Arial"/>
          <w:b/>
        </w:rPr>
      </w:pPr>
    </w:p>
    <w:p>
      <w:pPr>
        <w:rPr>
          <w:rFonts w:ascii="Arial" w:hAnsi="Arial" w:cs="Arial"/>
          <w:bCs/>
        </w:rPr>
      </w:pPr>
    </w:p>
    <w:sectPr>
      <w:headerReference w:type="default" r:id="rId15"/>
      <w:footerReference w:type="default" r:id="rId16"/>
      <w:headerReference w:type="first" r:id="rId17"/>
      <w:footerReference w:type="first" r:id="rId18"/>
      <w:pgSz w:w="11900" w:h="16840"/>
      <w:pgMar w:top="1701" w:right="1418" w:bottom="1191" w:left="1418" w:header="709" w:footer="158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tabs>
        <w:tab w:val="left" w:pos="6379"/>
        <w:tab w:val="left" w:pos="6521"/>
      </w:tabs>
    </w:pPr>
    <w:r>
      <w:rPr>
        <w:noProof/>
        <w:lang w:eastAsia="de-DE"/>
      </w:rPr>
      <mc:AlternateContent>
        <mc:Choice Requires="wps">
          <w:drawing>
            <wp:anchor distT="0" distB="0" distL="114300" distR="114300" simplePos="0" relativeHeight="251675648" behindDoc="0" locked="0" layoutInCell="1" allowOverlap="1">
              <wp:simplePos x="0" y="0"/>
              <wp:positionH relativeFrom="column">
                <wp:posOffset>4062994</wp:posOffset>
              </wp:positionH>
              <wp:positionV relativeFrom="paragraph">
                <wp:posOffset>-15875</wp:posOffset>
              </wp:positionV>
              <wp:extent cx="1714500" cy="137160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Kommunikation und Beteiligung</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319.9pt;margin-top:-1.25pt;width:135pt;height:10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" filled="f" stroked="f">
              <v:textbo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Kommunikation und Beteiligung</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v:textbox>
            </v:shape>
          </w:pict>
        </mc:Fallback>
      </mc:AlternateContent>
    </w:r>
  </w:p>
  <w:p>
    <w:pPr>
      <w:pStyle w:val="Fuzeile"/>
      <w:tabs>
        <w:tab w:val="left" w:pos="6379"/>
        <w:tab w:val="left" w:pos="6521"/>
      </w:tabs>
    </w:pPr>
  </w:p>
  <w:p>
    <w:pPr>
      <w:pStyle w:val="Fuzeile"/>
      <w:tabs>
        <w:tab w:val="left" w:pos="4253"/>
        <w:tab w:val="left" w:pos="6379"/>
        <w:tab w:val="left" w:pos="6521"/>
        <w:tab w:val="left" w:pos="6804"/>
      </w:tabs>
    </w:pPr>
    <w:r>
      <w:rPr>
        <w:noProof/>
        <w:lang w:eastAsia="de-DE"/>
      </w:rPr>
      <w:drawing>
        <wp:anchor distT="0" distB="0" distL="114300" distR="114300" simplePos="0" relativeHeight="251676672" behindDoc="0" locked="0" layoutInCell="1" allowOverlap="1">
          <wp:simplePos x="0" y="0"/>
          <wp:positionH relativeFrom="column">
            <wp:posOffset>11765</wp:posOffset>
          </wp:positionH>
          <wp:positionV relativeFrom="page">
            <wp:posOffset>9928860</wp:posOffset>
          </wp:positionV>
          <wp:extent cx="1634559" cy="440690"/>
          <wp:effectExtent l="0" t="0" r="3810" b="0"/>
          <wp:wrapNone/>
          <wp:docPr id="24"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t_Bildmarke_cyan_s_13cm_RGB"/>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634559" cy="440690"/>
                  </a:xfrm>
                  <a:prstGeom prst="rect">
                    <a:avLst/>
                  </a:prstGeom>
                  <a:noFill/>
                </pic:spPr>
              </pic:pic>
            </a:graphicData>
          </a:graphic>
          <wp14:sizeRelH relativeFrom="margin">
            <wp14:pctWidth>0</wp14:pctWidth>
          </wp14:sizeRelH>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tabs>
        <w:tab w:val="left" w:pos="6663"/>
      </w:tabs>
      <w:rPr>
        <w:sz w:val="12"/>
        <w:szCs w:val="12"/>
      </w:rPr>
    </w:pPr>
    <w:r>
      <w:rPr>
        <w:noProof/>
        <w:sz w:val="12"/>
        <w:szCs w:val="20"/>
        <w:lang w:eastAsia="de-DE"/>
      </w:rPr>
      <mc:AlternateContent>
        <mc:Choice Requires="wps">
          <w:drawing>
            <wp:anchor distT="0" distB="0" distL="114300" distR="114300" simplePos="0" relativeHeight="251666432" behindDoc="0" locked="0" layoutInCell="1" allowOverlap="1">
              <wp:simplePos x="0" y="0"/>
              <wp:positionH relativeFrom="column">
                <wp:posOffset>4043416</wp:posOffset>
              </wp:positionH>
              <wp:positionV relativeFrom="paragraph">
                <wp:posOffset>-22860</wp:posOffset>
              </wp:positionV>
              <wp:extent cx="1714500" cy="137160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Öffentlichkeitsarbeit</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318.4pt;margin-top:-1.8pt;width:135pt;height:1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" filled="f" stroked="f">
              <v:textbox>
                <w:txbxContent>
                  <w:p>
                    <w:pPr>
                      <w:pStyle w:val="Fuzeile"/>
                      <w:rPr>
                        <w:sz w:val="12"/>
                        <w:szCs w:val="12"/>
                      </w:rPr>
                    </w:pPr>
                    <w:r>
                      <w:rPr>
                        <w:sz w:val="12"/>
                        <w:szCs w:val="12"/>
                      </w:rPr>
                      <w:t>Herausgeberin:</w:t>
                    </w:r>
                  </w:p>
                  <w:p>
                    <w:pPr>
                      <w:pStyle w:val="Fuzeile"/>
                      <w:rPr>
                        <w:sz w:val="12"/>
                        <w:szCs w:val="12"/>
                      </w:rPr>
                    </w:pPr>
                    <w:r>
                      <w:rPr>
                        <w:sz w:val="12"/>
                        <w:szCs w:val="12"/>
                      </w:rPr>
                      <w:t>Stadt Ludwigshafen am Rhein</w:t>
                    </w:r>
                  </w:p>
                  <w:p>
                    <w:pPr>
                      <w:pStyle w:val="Fuzeile"/>
                      <w:rPr>
                        <w:sz w:val="12"/>
                        <w:szCs w:val="12"/>
                      </w:rPr>
                    </w:pPr>
                    <w:r>
                      <w:rPr>
                        <w:sz w:val="12"/>
                        <w:szCs w:val="12"/>
                      </w:rPr>
                      <w:t>Bereich:</w:t>
                    </w:r>
                  </w:p>
                  <w:p>
                    <w:pPr>
                      <w:pStyle w:val="Fuzeile"/>
                      <w:rPr>
                        <w:sz w:val="12"/>
                        <w:szCs w:val="12"/>
                      </w:rPr>
                    </w:pPr>
                    <w:r>
                      <w:rPr>
                        <w:sz w:val="12"/>
                        <w:szCs w:val="12"/>
                      </w:rPr>
                      <w:t>Öffentlichkeitsarbeit</w:t>
                    </w:r>
                  </w:p>
                  <w:p>
                    <w:pPr>
                      <w:pStyle w:val="Fuzeile"/>
                      <w:rPr>
                        <w:sz w:val="12"/>
                        <w:szCs w:val="12"/>
                      </w:rPr>
                    </w:pPr>
                  </w:p>
                  <w:p>
                    <w:pPr>
                      <w:pStyle w:val="Fuzeile"/>
                      <w:rPr>
                        <w:sz w:val="12"/>
                        <w:szCs w:val="12"/>
                      </w:rPr>
                    </w:pPr>
                    <w:r>
                      <w:rPr>
                        <w:sz w:val="12"/>
                        <w:szCs w:val="12"/>
                      </w:rPr>
                      <w:t>Postfach 21 12 25</w:t>
                    </w:r>
                  </w:p>
                  <w:p>
                    <w:pPr>
                      <w:pStyle w:val="Fuzeile"/>
                      <w:rPr>
                        <w:sz w:val="12"/>
                        <w:szCs w:val="12"/>
                      </w:rPr>
                    </w:pPr>
                    <w:r>
                      <w:rPr>
                        <w:sz w:val="12"/>
                        <w:szCs w:val="12"/>
                      </w:rPr>
                      <w:t>67012 Ludwigshafen</w:t>
                    </w:r>
                  </w:p>
                  <w:p>
                    <w:pPr>
                      <w:pStyle w:val="Fuzeile"/>
                      <w:rPr>
                        <w:sz w:val="12"/>
                        <w:szCs w:val="12"/>
                      </w:rPr>
                    </w:pPr>
                    <w:r>
                      <w:rPr>
                        <w:sz w:val="12"/>
                        <w:szCs w:val="12"/>
                      </w:rPr>
                      <w:t>Telefon: 0621 504-3013</w:t>
                    </w:r>
                  </w:p>
                  <w:p>
                    <w:pPr>
                      <w:pStyle w:val="Fuzeile"/>
                      <w:rPr>
                        <w:sz w:val="12"/>
                        <w:szCs w:val="12"/>
                      </w:rPr>
                    </w:pPr>
                    <w:r>
                      <w:rPr>
                        <w:sz w:val="12"/>
                        <w:szCs w:val="12"/>
                      </w:rPr>
                      <w:t>Telefax: 0621 504-2049</w:t>
                    </w:r>
                  </w:p>
                  <w:p>
                    <w:pPr>
                      <w:pStyle w:val="Fuzeile"/>
                      <w:rPr>
                        <w:sz w:val="12"/>
                        <w:szCs w:val="12"/>
                      </w:rPr>
                    </w:pPr>
                  </w:p>
                  <w:p>
                    <w:pPr>
                      <w:pStyle w:val="Fuzeile"/>
                      <w:rPr>
                        <w:sz w:val="12"/>
                        <w:szCs w:val="12"/>
                        <w:lang w:val="it-IT"/>
                      </w:rPr>
                    </w:pPr>
                    <w:r>
                      <w:rPr>
                        <w:sz w:val="12"/>
                        <w:szCs w:val="12"/>
                        <w:lang w:val="it-IT"/>
                      </w:rPr>
                      <w:t>E-Mail: pressestelle@ludwigshafen.de</w:t>
                    </w:r>
                  </w:p>
                  <w:p>
                    <w:pPr>
                      <w:pStyle w:val="Fuzeile"/>
                      <w:rPr>
                        <w:sz w:val="12"/>
                        <w:szCs w:val="12"/>
                        <w:lang w:val="it-IT"/>
                      </w:rPr>
                    </w:pPr>
                    <w:r>
                      <w:rPr>
                        <w:sz w:val="12"/>
                        <w:szCs w:val="12"/>
                        <w:lang w:val="it-IT"/>
                      </w:rPr>
                      <w:t xml:space="preserve">Internet: www.ludwigshafen.de </w:t>
                    </w:r>
                  </w:p>
                  <w:p>
                    <w:pPr>
                      <w:rPr>
                        <w:sz w:val="12"/>
                        <w:szCs w:val="12"/>
                      </w:rPr>
                    </w:pPr>
                    <w:r>
                      <w:rPr>
                        <w:sz w:val="12"/>
                        <w:szCs w:val="12"/>
                      </w:rPr>
                      <w:t xml:space="preserve">Verantwortlich: Sigrid </w:t>
                    </w:r>
                    <w:proofErr w:type="spellStart"/>
                    <w:r>
                      <w:rPr>
                        <w:sz w:val="12"/>
                        <w:szCs w:val="12"/>
                      </w:rPr>
                      <w:t>Karck</w:t>
                    </w:r>
                    <w:proofErr w:type="spellEnd"/>
                  </w:p>
                </w:txbxContent>
              </v:textbox>
            </v:shape>
          </w:pict>
        </mc:Fallback>
      </mc:AlternateContent>
    </w:r>
  </w:p>
  <w:p>
    <w:pPr>
      <w:pStyle w:val="Fuzeile"/>
      <w:rPr>
        <w:sz w:val="12"/>
        <w:szCs w:val="12"/>
      </w:rPr>
    </w:pPr>
  </w:p>
  <w:p>
    <w:pPr>
      <w:pStyle w:val="Fuzeile"/>
    </w:pPr>
    <w:r>
      <w:rPr>
        <w:noProof/>
        <w:szCs w:val="20"/>
        <w:lang w:eastAsia="de-DE"/>
      </w:rPr>
      <w:drawing>
        <wp:anchor distT="0" distB="0" distL="114300" distR="114300" simplePos="0" relativeHeight="251667456" behindDoc="0" locked="0" layoutInCell="1" allowOverlap="1">
          <wp:simplePos x="0" y="0"/>
          <wp:positionH relativeFrom="column">
            <wp:posOffset>-48260</wp:posOffset>
          </wp:positionH>
          <wp:positionV relativeFrom="page">
            <wp:posOffset>9916160</wp:posOffset>
          </wp:positionV>
          <wp:extent cx="2286000" cy="440690"/>
          <wp:effectExtent l="0" t="0" r="0" b="0"/>
          <wp:wrapNone/>
          <wp:docPr id="26" name="Bild 6" descr="Wort_Bildmarke_cyan_s_13cm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t_Bildmarke_cyan_s_13cm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440690"/>
                  </a:xfrm>
                  <a:prstGeom prst="rect">
                    <a:avLst/>
                  </a:prstGeom>
                  <a:noFill/>
                </pic:spPr>
              </pic:pic>
            </a:graphicData>
          </a:graphic>
        </wp:anchor>
      </w:drawing>
    </w:r>
  </w:p>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
      <w:tabs>
        <w:tab w:val="left" w:pos="4820"/>
        <w:tab w:val="left" w:pos="6663"/>
      </w:tabs>
      <w:rPr>
        <w:rFonts w:ascii="Arial" w:hAnsi="Arial" w:cs="Arial"/>
        <w:sz w:val="22"/>
        <w:szCs w:val="22"/>
        <w:lang w:bidi="ar-SA"/>
      </w:rPr>
    </w:pPr>
    <w:r>
      <w:rPr>
        <w:rFonts w:ascii="Arial" w:hAnsi="Arial" w:cs="Arial"/>
        <w:noProof/>
        <w:sz w:val="22"/>
        <w:szCs w:val="22"/>
        <w:lang w:bidi="ar-SA"/>
      </w:rPr>
      <w:drawing>
        <wp:anchor distT="0" distB="0" distL="114300" distR="114300" simplePos="0" relativeHeight="251673600" behindDoc="1" locked="0" layoutInCell="1" allowOverlap="1">
          <wp:simplePos x="0" y="0"/>
          <wp:positionH relativeFrom="column">
            <wp:posOffset>2900944</wp:posOffset>
          </wp:positionH>
          <wp:positionV relativeFrom="paragraph">
            <wp:posOffset>65405</wp:posOffset>
          </wp:positionV>
          <wp:extent cx="2996590" cy="431321"/>
          <wp:effectExtent l="0" t="0" r="0" b="6985"/>
          <wp:wrapNone/>
          <wp:docPr id="23" name="Grafik 23" descr="C:\Users\KraeuL01\Desktop\whm171114_Schriftz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euL01\Desktop\whm171114_Schriftzu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96590" cy="43132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
      <w:tabs>
        <w:tab w:val="left" w:pos="6237"/>
      </w:tabs>
      <w:rPr>
        <w:rFonts w:ascii="Arial" w:hAnsi="Arial" w:cs="Arial"/>
        <w:sz w:val="22"/>
        <w:szCs w:val="22"/>
        <w:lang w:bidi="ar-SA"/>
      </w:rPr>
    </w:pPr>
    <w:r>
      <w:rPr>
        <w:rFonts w:ascii="Arial" w:hAnsi="Arial" w:cs="Arial"/>
        <w:noProof/>
        <w:sz w:val="22"/>
        <w:szCs w:val="22"/>
        <w:lang w:bidi="ar-SA"/>
      </w:rPr>
      <w:drawing>
        <wp:anchor distT="0" distB="0" distL="114300" distR="114300" simplePos="0" relativeHeight="251671552" behindDoc="1" locked="0" layoutInCell="1" allowOverlap="1">
          <wp:simplePos x="0" y="0"/>
          <wp:positionH relativeFrom="column">
            <wp:posOffset>2908300</wp:posOffset>
          </wp:positionH>
          <wp:positionV relativeFrom="paragraph">
            <wp:posOffset>91069</wp:posOffset>
          </wp:positionV>
          <wp:extent cx="2996590" cy="431321"/>
          <wp:effectExtent l="0" t="0" r="0" b="6985"/>
          <wp:wrapNone/>
          <wp:docPr id="25" name="Grafik 25" descr="C:\Users\KraeuL01\Desktop\whm171114_Schriftz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aeuL01\Desktop\whm171114_Schriftzug.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96590" cy="43132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7608A"/>
    <w:multiLevelType w:val="hybridMultilevel"/>
    <w:tmpl w:val="23280F16"/>
    <w:lvl w:ilvl="0" w:tplc="76C03AD4">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226528E"/>
    <w:multiLevelType w:val="hybridMultilevel"/>
    <w:tmpl w:val="BDBEAD76"/>
    <w:lvl w:ilvl="0" w:tplc="A64C315A">
      <w:numFmt w:val="bullet"/>
      <w:lvlText w:val="-"/>
      <w:lvlJc w:val="left"/>
      <w:pPr>
        <w:ind w:left="1080" w:hanging="360"/>
      </w:pPr>
      <w:rPr>
        <w:rFonts w:ascii="Arial" w:eastAsia="Arial"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257C496D"/>
    <w:multiLevelType w:val="hybridMultilevel"/>
    <w:tmpl w:val="FABA7046"/>
    <w:lvl w:ilvl="0" w:tplc="75165B4C">
      <w:start w:val="2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68A5A3A"/>
    <w:multiLevelType w:val="hybridMultilevel"/>
    <w:tmpl w:val="F8E620DA"/>
    <w:lvl w:ilvl="0" w:tplc="081ED1CC">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08"/>
  <w:autoHyphenation/>
  <w:consecutiveHyphenLimit w:val="2"/>
  <w:hyphenationZone w:val="425"/>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docId w15:val="{AB25DADA-2BF6-468B-8A16-82F53B7BB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customStyle="1" w:styleId="Kopfze">
    <w:name w:val="Kopfze"/>
    <w:basedOn w:val="Standard"/>
    <w:pPr>
      <w:tabs>
        <w:tab w:val="center" w:pos="4536"/>
        <w:tab w:val="right" w:pos="9072"/>
      </w:tabs>
      <w:spacing w:after="0" w:line="240" w:lineRule="auto"/>
    </w:pPr>
    <w:rPr>
      <w:rFonts w:ascii="Times New Roman" w:eastAsia="Times New Roman" w:hAnsi="Times New Roman" w:cs="Times New Roman"/>
      <w:sz w:val="24"/>
      <w:szCs w:val="24"/>
      <w:lang w:eastAsia="de-DE" w:bidi="de-DE"/>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themeColor="hyperlink"/>
      <w:u w:val="single"/>
    </w:rPr>
  </w:style>
  <w:style w:type="paragraph" w:styleId="StandardWeb">
    <w:name w:val="Normal (Web)"/>
    <w:basedOn w:val="Standard"/>
    <w:uiPriority w:val="99"/>
    <w:unhideWhenUse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paragraph" w:styleId="Beschriftung">
    <w:name w:val="caption"/>
    <w:basedOn w:val="Standard"/>
    <w:next w:val="Standard"/>
    <w:uiPriority w:val="35"/>
    <w:unhideWhenUsed/>
    <w:qFormat/>
    <w:pPr>
      <w:spacing w:line="240" w:lineRule="auto"/>
    </w:pPr>
    <w:rPr>
      <w:i/>
      <w:iCs/>
      <w:color w:val="1F497D" w:themeColor="text2"/>
      <w:sz w:val="18"/>
      <w:szCs w:val="18"/>
    </w:rPr>
  </w:style>
  <w:style w:type="character" w:styleId="BesuchterLink">
    <w:name w:val="FollowedHyperlink"/>
    <w:basedOn w:val="Absatz-Standardschriftart"/>
    <w:uiPriority w:val="99"/>
    <w:semiHidden/>
    <w:unhideWhenUsed/>
    <w:rPr>
      <w:color w:val="800080" w:themeColor="followedHyperlink"/>
      <w:u w:val="single"/>
    </w:rPr>
  </w:style>
  <w:style w:type="character" w:styleId="Hervorhebung">
    <w:name w:val="Emphasis"/>
    <w:basedOn w:val="Absatz-Standardschriftart"/>
    <w:uiPriority w:val="20"/>
    <w:qFormat/>
    <w:rPr>
      <w:i/>
      <w:iCs/>
    </w:rPr>
  </w:style>
  <w:style w:type="paragraph" w:styleId="Listenabsatz">
    <w:name w:val="List Paragraph"/>
    <w:basedOn w:val="Standard"/>
    <w:uiPriority w:val="34"/>
    <w:qFormat/>
    <w:pPr>
      <w:ind w:left="720"/>
      <w:contextualSpacing/>
    </w:pPr>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448982">
      <w:bodyDiv w:val="1"/>
      <w:marLeft w:val="0"/>
      <w:marRight w:val="0"/>
      <w:marTop w:val="0"/>
      <w:marBottom w:val="0"/>
      <w:divBdr>
        <w:top w:val="none" w:sz="0" w:space="0" w:color="auto"/>
        <w:left w:val="none" w:sz="0" w:space="0" w:color="auto"/>
        <w:bottom w:val="none" w:sz="0" w:space="0" w:color="auto"/>
        <w:right w:val="none" w:sz="0" w:space="0" w:color="auto"/>
      </w:divBdr>
    </w:div>
    <w:div w:id="102525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en.weiler@ludwigshafen.de"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lhelmhack.museum/de/presse/download-pressebereich"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wilhelmhack.museum/de/presse/download-pressebereich"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footer2.xml.rels><?xml version="1.0" encoding="UTF-8" standalone="yes"?>
<Relationships xmlns="http://schemas.openxmlformats.org/package/2006/relationships"><Relationship Id="rId1"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13E6C-E41C-4FE5-A3B6-22E08EF57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674</Words>
  <Characters>4248</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Stadt Ludwigshafen</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Weiland Anna</dc:creator>
  <cp:lastModifiedBy>Leimert Martina</cp:lastModifiedBy>
  <cp:revision>3</cp:revision>
  <cp:lastPrinted>2026-03-20T13:09:00Z</cp:lastPrinted>
  <dcterms:created xsi:type="dcterms:W3CDTF">2026-10-14T11:47:00Z</dcterms:created>
  <dcterms:modified xsi:type="dcterms:W3CDTF">2026-10-14T12:25:00Z</dcterms:modified>
</cp:coreProperties>
</file>