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D9A776" w14:textId="77777777" w:rsidR="007A5DC7" w:rsidRPr="00665853" w:rsidRDefault="009E3904" w:rsidP="00665853">
      <w:pPr>
        <w:tabs>
          <w:tab w:val="left" w:pos="7395"/>
        </w:tabs>
        <w:spacing w:line="276" w:lineRule="auto"/>
        <w:rPr>
          <w:rFonts w:ascii="Barlow" w:hAnsi="Barlow"/>
        </w:rPr>
      </w:pPr>
      <w:r w:rsidRPr="00665853">
        <w:rPr>
          <w:rFonts w:ascii="Barlow" w:hAnsi="Barlow"/>
        </w:rPr>
        <w:br/>
      </w:r>
      <w:r w:rsidR="007A5DC7" w:rsidRPr="00665853">
        <w:rPr>
          <w:rFonts w:ascii="Barlow" w:hAnsi="Barlow"/>
        </w:rPr>
        <w:drawing>
          <wp:anchor distT="0" distB="0" distL="114300" distR="114300" simplePos="0" relativeHeight="251659264" behindDoc="1" locked="0" layoutInCell="1" allowOverlap="1" wp14:anchorId="73E55FF7" wp14:editId="419F73E7">
            <wp:simplePos x="0" y="0"/>
            <wp:positionH relativeFrom="column">
              <wp:posOffset>3881755</wp:posOffset>
            </wp:positionH>
            <wp:positionV relativeFrom="page">
              <wp:posOffset>409575</wp:posOffset>
            </wp:positionV>
            <wp:extent cx="2040890" cy="1248410"/>
            <wp:effectExtent l="0" t="0" r="0" b="0"/>
            <wp:wrapTopAndBottom/>
            <wp:docPr id="139" name="Grafik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 uri="{96DAC541-7B7A-43D3-8B79-37D633B846F1}">
                          <asvg:svgBlip xmlns:asvg="http://schemas.microsoft.com/office/drawing/2016/SVG/main" r:embed="rId7"/>
                        </a:ext>
                      </a:extLst>
                    </a:blip>
                    <a:stretch>
                      <a:fillRect/>
                    </a:stretch>
                  </pic:blipFill>
                  <pic:spPr>
                    <a:xfrm>
                      <a:off x="0" y="0"/>
                      <a:ext cx="2040890" cy="1248410"/>
                    </a:xfrm>
                    <a:prstGeom prst="rect">
                      <a:avLst/>
                    </a:prstGeom>
                  </pic:spPr>
                </pic:pic>
              </a:graphicData>
            </a:graphic>
            <wp14:sizeRelH relativeFrom="margin">
              <wp14:pctWidth>0</wp14:pctWidth>
            </wp14:sizeRelH>
            <wp14:sizeRelV relativeFrom="margin">
              <wp14:pctHeight>0</wp14:pctHeight>
            </wp14:sizeRelV>
          </wp:anchor>
        </w:drawing>
      </w:r>
      <w:r w:rsidRPr="00665853">
        <w:rPr>
          <w:rFonts w:ascii="Barlow" w:hAnsi="Barlow"/>
        </w:rPr>
        <w:t>Pressemitteilung</w:t>
      </w:r>
      <w:r w:rsidRPr="00665853">
        <w:rPr>
          <w:rFonts w:ascii="Barlow" w:hAnsi="Barlow"/>
        </w:rPr>
        <w:br/>
        <w:t>Stadt Tettnang</w:t>
      </w:r>
      <w:r w:rsidR="007A5DC7" w:rsidRPr="00665853">
        <w:rPr>
          <w:rFonts w:ascii="Barlow" w:hAnsi="Barlow"/>
        </w:rPr>
        <w:tab/>
      </w:r>
    </w:p>
    <w:p w14:paraId="16FA4F95" w14:textId="3A20064C" w:rsidR="00A14570" w:rsidRPr="00665853" w:rsidRDefault="00A14570" w:rsidP="00665853">
      <w:pPr>
        <w:spacing w:line="276" w:lineRule="auto"/>
        <w:rPr>
          <w:rFonts w:ascii="Barlow" w:hAnsi="Barlow"/>
        </w:rPr>
      </w:pPr>
    </w:p>
    <w:p w14:paraId="361D9093" w14:textId="77777777" w:rsidR="00665853" w:rsidRPr="00BB0A56" w:rsidRDefault="00665853" w:rsidP="00665853">
      <w:pPr>
        <w:spacing w:line="276" w:lineRule="auto"/>
        <w:rPr>
          <w:rFonts w:ascii="Barlow" w:hAnsi="Barlow"/>
          <w:b/>
          <w:bCs/>
        </w:rPr>
      </w:pPr>
      <w:r w:rsidRPr="00BB0A56">
        <w:rPr>
          <w:rFonts w:ascii="Barlow" w:hAnsi="Barlow"/>
          <w:b/>
          <w:bCs/>
        </w:rPr>
        <w:t>Neuer Seniorenwegweiser zeigt die Vielfalt der Angebote in Tettnang</w:t>
      </w:r>
      <w:r w:rsidRPr="00665853">
        <w:rPr>
          <w:rFonts w:ascii="Barlow" w:hAnsi="Barlow"/>
          <w:b/>
          <w:bCs/>
        </w:rPr>
        <w:br/>
      </w:r>
      <w:r w:rsidRPr="00BB0A56">
        <w:rPr>
          <w:rFonts w:ascii="Barlow" w:hAnsi="Barlow"/>
        </w:rPr>
        <w:t xml:space="preserve">Von Freizeit und Begegnung bis zu Beratung und Pflege – Broschüre ab </w:t>
      </w:r>
      <w:r w:rsidRPr="00665853">
        <w:rPr>
          <w:rFonts w:ascii="Barlow" w:hAnsi="Barlow"/>
        </w:rPr>
        <w:t>sofort</w:t>
      </w:r>
      <w:r w:rsidRPr="00BB0A56">
        <w:rPr>
          <w:rFonts w:ascii="Barlow" w:hAnsi="Barlow"/>
        </w:rPr>
        <w:t xml:space="preserve"> erhältlich</w:t>
      </w:r>
    </w:p>
    <w:p w14:paraId="2740155F" w14:textId="043015DE" w:rsidR="00665853" w:rsidRPr="00BB0A56" w:rsidRDefault="00665853" w:rsidP="00665853">
      <w:pPr>
        <w:spacing w:line="276" w:lineRule="auto"/>
        <w:rPr>
          <w:rFonts w:ascii="Barlow" w:hAnsi="Barlow"/>
          <w:i/>
          <w:iCs/>
        </w:rPr>
      </w:pPr>
      <w:r w:rsidRPr="00BB0A56">
        <w:rPr>
          <w:rFonts w:ascii="Barlow" w:hAnsi="Barlow"/>
          <w:i/>
          <w:iCs/>
        </w:rPr>
        <w:t>Tettnang</w:t>
      </w:r>
      <w:r w:rsidRPr="00665853">
        <w:rPr>
          <w:rFonts w:ascii="Barlow" w:hAnsi="Barlow"/>
          <w:i/>
          <w:iCs/>
        </w:rPr>
        <w:t xml:space="preserve">, 19. Oktober 2026 - </w:t>
      </w:r>
      <w:r w:rsidRPr="00BB0A56">
        <w:rPr>
          <w:rFonts w:ascii="Barlow" w:hAnsi="Barlow"/>
          <w:i/>
          <w:iCs/>
        </w:rPr>
        <w:t xml:space="preserve">Aktiv bleiben, neue Kontakte knüpfen, sich ehrenamtlich engagieren oder bei Bedarf Unterstützung finden: Der neue Seniorenwegweiser der Stadt Tettnang bietet älteren Menschen und ihren Angehörigen einen umfassenden Überblick über die vielfältigen Angebote in der Hopfenstadt. Die Broschüre ist ab </w:t>
      </w:r>
      <w:r>
        <w:rPr>
          <w:rFonts w:ascii="Barlow" w:hAnsi="Barlow"/>
          <w:i/>
          <w:iCs/>
        </w:rPr>
        <w:t xml:space="preserve">sofort </w:t>
      </w:r>
      <w:r w:rsidRPr="00BB0A56">
        <w:rPr>
          <w:rFonts w:ascii="Barlow" w:hAnsi="Barlow"/>
          <w:i/>
          <w:iCs/>
        </w:rPr>
        <w:t>im Rathaus und im StadTTforum erhältlich und steht auch online zur Verfügung.</w:t>
      </w:r>
    </w:p>
    <w:p w14:paraId="6080994E" w14:textId="77777777" w:rsidR="00665853" w:rsidRPr="00BB0A56" w:rsidRDefault="00665853" w:rsidP="00665853">
      <w:pPr>
        <w:spacing w:line="276" w:lineRule="auto"/>
        <w:rPr>
          <w:rFonts w:ascii="Barlow" w:hAnsi="Barlow"/>
        </w:rPr>
      </w:pPr>
      <w:r w:rsidRPr="00BB0A56">
        <w:rPr>
          <w:rFonts w:ascii="Barlow" w:hAnsi="Barlow"/>
        </w:rPr>
        <w:t>Unter dem Motto „Sich wohlfühlen und fit bleiben“ bündelt der Seniorenwegweiser auf mehr als 50 Seiten zahlreiche Informationen, Adressen und Ansprechpartner. Dabei geht es längst nicht nur um Fragen rund um Pflege und Unterstützung. Vielmehr zeigt die Broschüre, wie vielfältig die Möglichkeiten sind, das Leben auch im Alter aktiv, selbstbestimmt und gemeinsam mit anderen zu gestalten.</w:t>
      </w:r>
    </w:p>
    <w:p w14:paraId="40861D3A" w14:textId="77777777" w:rsidR="00665853" w:rsidRPr="00BB0A56" w:rsidRDefault="00665853" w:rsidP="00665853">
      <w:pPr>
        <w:spacing w:line="276" w:lineRule="auto"/>
        <w:rPr>
          <w:rFonts w:ascii="Barlow" w:hAnsi="Barlow"/>
          <w:b/>
          <w:bCs/>
        </w:rPr>
      </w:pPr>
      <w:r w:rsidRPr="00BB0A56">
        <w:rPr>
          <w:rFonts w:ascii="Barlow" w:hAnsi="Barlow"/>
          <w:b/>
          <w:bCs/>
        </w:rPr>
        <w:t>Von Bewegung bis Begegnung</w:t>
      </w:r>
      <w:r w:rsidRPr="00665853">
        <w:rPr>
          <w:rFonts w:ascii="Barlow" w:hAnsi="Barlow"/>
          <w:b/>
          <w:bCs/>
        </w:rPr>
        <w:br/>
      </w:r>
      <w:r w:rsidRPr="00BB0A56">
        <w:rPr>
          <w:rFonts w:ascii="Barlow" w:hAnsi="Barlow"/>
        </w:rPr>
        <w:t>Ob Sport- und Bewegungsangebote, kulturelle Veranstaltungen, gemeinsame Ausflüge oder gesellige Treffpunkte – der Seniorenwegweiser stellt zahlreiche Möglichkeiten vor, die Freizeit abwechslungsreich zu gestalten und mit anderen Menschen in Kontakt zu kommen. Auch wer sich ehrenamtlich einbringen möchte, findet Anregungen und Ansprechpartner.</w:t>
      </w:r>
    </w:p>
    <w:p w14:paraId="741C1661" w14:textId="77777777" w:rsidR="00665853" w:rsidRPr="00BB0A56" w:rsidRDefault="00665853" w:rsidP="00665853">
      <w:pPr>
        <w:spacing w:line="276" w:lineRule="auto"/>
        <w:rPr>
          <w:rFonts w:ascii="Barlow" w:hAnsi="Barlow"/>
        </w:rPr>
      </w:pPr>
      <w:r w:rsidRPr="00BB0A56">
        <w:rPr>
          <w:rFonts w:ascii="Barlow" w:hAnsi="Barlow"/>
        </w:rPr>
        <w:t>Daneben bietet die Broschüre wichtige Informationen zu Beratung und Unterstützung im Alltag, medizinischer Versorgung, Mobilität, Wohnen im Alter, Pflege und rechtlicher Vorsorge. Ergänzt wird das Angebot durch eine Übersicht wichtiger Telefonnummern und Anlaufstellen.</w:t>
      </w:r>
    </w:p>
    <w:p w14:paraId="74937F0C" w14:textId="77777777" w:rsidR="00665853" w:rsidRPr="00BB0A56" w:rsidRDefault="00665853" w:rsidP="00665853">
      <w:pPr>
        <w:spacing w:line="276" w:lineRule="auto"/>
        <w:rPr>
          <w:rFonts w:ascii="Barlow" w:hAnsi="Barlow"/>
        </w:rPr>
      </w:pPr>
      <w:r w:rsidRPr="00BB0A56">
        <w:rPr>
          <w:rFonts w:ascii="Barlow" w:hAnsi="Barlow"/>
        </w:rPr>
        <w:t>„Älterwerden bedeutet nicht nur, dass sich Bedürfnisse verändern. Es eröffnet auch neue Möglichkeiten, Interessen zu entdecken, Gemeinschaft zu erleben und sich einzubringen“, betont Bürgermeisterin Regine Rist. „Unser Seniorenwegweiser zeigt, wie viel Tettnang in dieser Lebensphase zu bieten hat. Ich wünsche mir, dass viele Menschen darin etwas entdecken, das ihnen Freude macht, sie zu neuen Begegnungen ermutigt oder ihnen genau dann weiterhilft, wenn sie Unterstützung benötigen.“</w:t>
      </w:r>
    </w:p>
    <w:p w14:paraId="597DDA48" w14:textId="77777777" w:rsidR="00665853" w:rsidRPr="00BB0A56" w:rsidRDefault="00665853" w:rsidP="00665853">
      <w:pPr>
        <w:spacing w:line="276" w:lineRule="auto"/>
        <w:rPr>
          <w:rFonts w:ascii="Barlow" w:hAnsi="Barlow"/>
          <w:b/>
          <w:bCs/>
        </w:rPr>
      </w:pPr>
      <w:r w:rsidRPr="00BB0A56">
        <w:rPr>
          <w:rFonts w:ascii="Barlow" w:hAnsi="Barlow"/>
          <w:b/>
          <w:bCs/>
        </w:rPr>
        <w:t>Viele Angebote dank großem Engagement</w:t>
      </w:r>
      <w:r w:rsidRPr="00665853">
        <w:rPr>
          <w:rFonts w:ascii="Barlow" w:hAnsi="Barlow"/>
          <w:b/>
          <w:bCs/>
        </w:rPr>
        <w:br/>
      </w:r>
      <w:r w:rsidRPr="00BB0A56">
        <w:rPr>
          <w:rFonts w:ascii="Barlow" w:hAnsi="Barlow"/>
        </w:rPr>
        <w:t>Die Vielfalt der Angebote ist zugleich Ausdruck des großen Engagements zahlreicher Menschen und Einrichtungen in Tettnang. Vereine, Kirchen, soziale Einrichtungen, der Stadtseniorenrat und viele Ehrenamtliche tragen dazu bei, dass ältere Menschen am gesellschaftlichen Leben teilhaben können und bei Bedarf Unterstützung finden.</w:t>
      </w:r>
    </w:p>
    <w:p w14:paraId="4C2BDDCA" w14:textId="77777777" w:rsidR="00665853" w:rsidRPr="00BB0A56" w:rsidRDefault="00665853" w:rsidP="00665853">
      <w:pPr>
        <w:spacing w:line="276" w:lineRule="auto"/>
        <w:rPr>
          <w:rFonts w:ascii="Barlow" w:hAnsi="Barlow"/>
        </w:rPr>
      </w:pPr>
      <w:r w:rsidRPr="00BB0A56">
        <w:rPr>
          <w:rFonts w:ascii="Barlow" w:hAnsi="Barlow"/>
        </w:rPr>
        <w:t xml:space="preserve">Der Seniorenwegweiser macht dieses breite Netzwerk sichtbar und erleichtert es, das passende Angebot oder den richtigen Ansprechpartner zu finden. Er richtet sich dabei nicht nur </w:t>
      </w:r>
      <w:r w:rsidRPr="00BB0A56">
        <w:rPr>
          <w:rFonts w:ascii="Barlow" w:hAnsi="Barlow"/>
        </w:rPr>
        <w:lastRenderedPageBreak/>
        <w:t>an Seniorinnen und Senioren selbst, sondern auch an Angehörige und alle, die sich über die Möglichkeiten in Tettnang informieren möchten.</w:t>
      </w:r>
    </w:p>
    <w:p w14:paraId="49E85BDC" w14:textId="7A6001FF" w:rsidR="00665853" w:rsidRPr="00BB0A56" w:rsidRDefault="00665853" w:rsidP="00665853">
      <w:pPr>
        <w:spacing w:line="276" w:lineRule="auto"/>
        <w:rPr>
          <w:rFonts w:ascii="Barlow" w:hAnsi="Barlow"/>
        </w:rPr>
      </w:pPr>
      <w:r w:rsidRPr="00BB0A56">
        <w:rPr>
          <w:rFonts w:ascii="Barlow" w:hAnsi="Barlow"/>
          <w:b/>
          <w:bCs/>
        </w:rPr>
        <w:t>Hier gibt es den Seniorenwegweiser</w:t>
      </w:r>
      <w:r w:rsidRPr="00665853">
        <w:rPr>
          <w:rFonts w:ascii="Barlow" w:hAnsi="Barlow"/>
          <w:b/>
          <w:bCs/>
        </w:rPr>
        <w:br/>
      </w:r>
      <w:r w:rsidRPr="00BB0A56">
        <w:rPr>
          <w:rFonts w:ascii="Barlow" w:hAnsi="Barlow"/>
        </w:rPr>
        <w:t>Der neue Seniorenwegweiser ist ab Montag, 19. Oktober 2026, im Rathaus Tettnang (Montfortplatz 7) sowie im StadTTforum (Kaplaneiweg 1) erhältlich. Außerdem liegt er in der Anlaufstelle für Bürgerengagement (Montfortstraße 2) aus</w:t>
      </w:r>
      <w:r w:rsidRPr="006F397C">
        <w:rPr>
          <w:rFonts w:ascii="Barlow" w:hAnsi="Barlow"/>
        </w:rPr>
        <w:t xml:space="preserve">. Zudem liegen die druckfrischen Exemplare in </w:t>
      </w:r>
      <w:r w:rsidR="006F397C" w:rsidRPr="006F397C">
        <w:rPr>
          <w:rFonts w:ascii="Barlow" w:hAnsi="Barlow"/>
        </w:rPr>
        <w:t xml:space="preserve">der Stadt- und Bären-Apotheke, in der Stadtbücherei, der Anlaufstelle für Bürgerengagement, dem Pflegestützpunkt Bodenseekreis und im Landratsamt Bodenseekreis </w:t>
      </w:r>
      <w:r w:rsidRPr="006F397C">
        <w:rPr>
          <w:rFonts w:ascii="Barlow" w:hAnsi="Barlow"/>
        </w:rPr>
        <w:t>aus</w:t>
      </w:r>
      <w:r w:rsidR="006F397C" w:rsidRPr="006F397C">
        <w:rPr>
          <w:rFonts w:ascii="Barlow" w:hAnsi="Barlow"/>
        </w:rPr>
        <w:t xml:space="preserve"> (ab dem 21. Oktober)</w:t>
      </w:r>
      <w:r w:rsidRPr="006F397C">
        <w:rPr>
          <w:rFonts w:ascii="Barlow" w:hAnsi="Barlow"/>
        </w:rPr>
        <w:t>.</w:t>
      </w:r>
    </w:p>
    <w:p w14:paraId="53CCA2EA" w14:textId="2F0AFB9A" w:rsidR="009E3904" w:rsidRPr="00665853" w:rsidRDefault="00665853" w:rsidP="00665853">
      <w:pPr>
        <w:spacing w:line="276" w:lineRule="auto"/>
        <w:rPr>
          <w:rFonts w:ascii="Barlow" w:hAnsi="Barlow"/>
        </w:rPr>
      </w:pPr>
      <w:r w:rsidRPr="00BB0A56">
        <w:rPr>
          <w:rFonts w:ascii="Barlow" w:hAnsi="Barlow"/>
        </w:rPr>
        <w:t xml:space="preserve">Wer sich lieber digital informieren möchte, findet den Seniorenwegweiser ab </w:t>
      </w:r>
      <w:r w:rsidR="00595DA5">
        <w:rPr>
          <w:rFonts w:ascii="Barlow" w:hAnsi="Barlow"/>
        </w:rPr>
        <w:t xml:space="preserve">sofort </w:t>
      </w:r>
      <w:r w:rsidRPr="00BB0A56">
        <w:rPr>
          <w:rFonts w:ascii="Barlow" w:hAnsi="Barlow"/>
        </w:rPr>
        <w:t>auf der städtischen Homepage unter</w:t>
      </w:r>
      <w:r w:rsidRPr="00665853">
        <w:rPr>
          <w:rFonts w:ascii="Barlow" w:hAnsi="Barlow"/>
        </w:rPr>
        <w:t xml:space="preserve"> www.tettnang.de/senioren</w:t>
      </w:r>
      <w:r w:rsidRPr="00BB0A56">
        <w:rPr>
          <w:rFonts w:ascii="Barlow" w:hAnsi="Barlow"/>
        </w:rPr>
        <w:t>.</w:t>
      </w:r>
    </w:p>
    <w:p w14:paraId="6C92CD3D" w14:textId="7B27BCB6" w:rsidR="009E3904" w:rsidRPr="00665853" w:rsidRDefault="009E3904" w:rsidP="00665853">
      <w:pPr>
        <w:spacing w:line="276" w:lineRule="auto"/>
        <w:rPr>
          <w:rFonts w:ascii="Barlow" w:hAnsi="Barlow"/>
        </w:rPr>
      </w:pPr>
      <w:r w:rsidRPr="00665853">
        <w:rPr>
          <w:rFonts w:ascii="Barlow" w:hAnsi="Barlow"/>
          <w:b/>
        </w:rPr>
        <w:t>Bildhinweis:</w:t>
      </w:r>
      <w:r w:rsidRPr="00665853">
        <w:rPr>
          <w:rFonts w:ascii="Barlow" w:hAnsi="Barlow"/>
        </w:rPr>
        <w:t xml:space="preserve"> </w:t>
      </w:r>
      <w:r w:rsidR="008A0397">
        <w:rPr>
          <w:rFonts w:ascii="Barlow" w:hAnsi="Barlow"/>
        </w:rPr>
        <w:br/>
      </w:r>
      <w:r w:rsidR="008A0397" w:rsidRPr="008A0397">
        <w:rPr>
          <w:rFonts w:ascii="Barlow" w:hAnsi="Barlow"/>
          <w:b/>
          <w:bCs/>
        </w:rPr>
        <w:t>2026_Seniorenwegweiser</w:t>
      </w:r>
      <w:r w:rsidRPr="00665853">
        <w:rPr>
          <w:rFonts w:ascii="Barlow" w:hAnsi="Barlow"/>
          <w:b/>
        </w:rPr>
        <w:t>.jpg:</w:t>
      </w:r>
      <w:r w:rsidR="008A0397">
        <w:rPr>
          <w:rFonts w:ascii="Barlow" w:hAnsi="Barlow"/>
        </w:rPr>
        <w:t xml:space="preserve"> Frisch gedruckt liegt der neue Seniorenwegweiser im Rathaus, im StadTTforum und an zahlreichen anderen Auslegestellen aus.</w:t>
      </w:r>
    </w:p>
    <w:p w14:paraId="56D87C05" w14:textId="77777777" w:rsidR="009E3904" w:rsidRPr="00665853" w:rsidRDefault="009E3904" w:rsidP="00665853">
      <w:pPr>
        <w:spacing w:line="276" w:lineRule="auto"/>
        <w:rPr>
          <w:rFonts w:ascii="Barlow" w:hAnsi="Barlow"/>
        </w:rPr>
      </w:pPr>
      <w:r w:rsidRPr="00665853">
        <w:rPr>
          <w:rFonts w:ascii="Barlow" w:hAnsi="Barlow"/>
        </w:rPr>
        <w:t>Copyright: Stadt Tettnang. Verwendung honorarfrei zur redaktionellen Berichterstattung über die Stadt Tettnang. Eine Nennung des Bildhinweises ist Voraussetzung.</w:t>
      </w:r>
    </w:p>
    <w:p w14:paraId="4A1AA428" w14:textId="77777777" w:rsidR="009E3904" w:rsidRPr="00665853" w:rsidRDefault="009E3904" w:rsidP="00665853">
      <w:pPr>
        <w:spacing w:line="276" w:lineRule="auto"/>
        <w:rPr>
          <w:rFonts w:ascii="Barlow" w:hAnsi="Barlow"/>
        </w:rPr>
      </w:pPr>
      <w:r w:rsidRPr="00665853">
        <w:rPr>
          <w:rFonts w:ascii="Barlow" w:hAnsi="Barlow"/>
          <w:b/>
        </w:rPr>
        <w:t>Rückfragen</w:t>
      </w:r>
      <w:r w:rsidRPr="00665853">
        <w:rPr>
          <w:rFonts w:ascii="Barlow" w:hAnsi="Barlow"/>
        </w:rPr>
        <w:t xml:space="preserve"> richten Sie bitte gerne an Alexandra Stockmeyer, Presse- und Öffentlichkeitsarbeit, Telefon 07542/510-557, Mail </w:t>
      </w:r>
      <w:hyperlink r:id="rId8" w:history="1">
        <w:r w:rsidRPr="00665853">
          <w:rPr>
            <w:rStyle w:val="Hyperlink"/>
            <w:rFonts w:ascii="Barlow" w:hAnsi="Barlow"/>
          </w:rPr>
          <w:t>alexandra.stockmeyer@tettnang.de</w:t>
        </w:r>
      </w:hyperlink>
      <w:r w:rsidRPr="00665853">
        <w:rPr>
          <w:rFonts w:ascii="Barlow" w:hAnsi="Barlow"/>
        </w:rPr>
        <w:t xml:space="preserve"> </w:t>
      </w:r>
    </w:p>
    <w:p w14:paraId="7B187249" w14:textId="77777777" w:rsidR="007A5DC7" w:rsidRPr="00665853" w:rsidRDefault="007A5DC7" w:rsidP="00665853">
      <w:pPr>
        <w:spacing w:line="276" w:lineRule="auto"/>
        <w:rPr>
          <w:rFonts w:ascii="Barlow" w:hAnsi="Barlow"/>
        </w:rPr>
      </w:pPr>
    </w:p>
    <w:sectPr w:rsidR="007A5DC7" w:rsidRPr="00665853">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040142" w14:textId="77777777" w:rsidR="00665853" w:rsidRDefault="00665853" w:rsidP="007A5DC7">
      <w:pPr>
        <w:spacing w:after="0" w:line="240" w:lineRule="auto"/>
      </w:pPr>
      <w:r>
        <w:separator/>
      </w:r>
    </w:p>
  </w:endnote>
  <w:endnote w:type="continuationSeparator" w:id="0">
    <w:p w14:paraId="4632F502" w14:textId="77777777" w:rsidR="00665853" w:rsidRDefault="00665853" w:rsidP="007A5D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Pro-Regular">
    <w:altName w:val="Calibri"/>
    <w:panose1 w:val="00000000000000000000"/>
    <w:charset w:val="00"/>
    <w:family w:val="auto"/>
    <w:notTrueType/>
    <w:pitch w:val="default"/>
    <w:sig w:usb0="00000003" w:usb1="00000000" w:usb2="00000000" w:usb3="00000000" w:csb0="00000001" w:csb1="00000000"/>
  </w:font>
  <w:font w:name="Barlow">
    <w:panose1 w:val="00000500000000000000"/>
    <w:charset w:val="00"/>
    <w:family w:val="auto"/>
    <w:pitch w:val="variable"/>
    <w:sig w:usb0="20000007" w:usb1="00000000"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C182C" w14:textId="77777777" w:rsidR="007A5DC7" w:rsidRDefault="007A5DC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9CCC88" w14:textId="77777777" w:rsidR="007A5DC7" w:rsidRDefault="007A5DC7">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566FC" w14:textId="77777777" w:rsidR="007A5DC7" w:rsidRDefault="007A5DC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2AC12C" w14:textId="77777777" w:rsidR="00665853" w:rsidRDefault="00665853" w:rsidP="007A5DC7">
      <w:pPr>
        <w:spacing w:after="0" w:line="240" w:lineRule="auto"/>
      </w:pPr>
      <w:r>
        <w:separator/>
      </w:r>
    </w:p>
  </w:footnote>
  <w:footnote w:type="continuationSeparator" w:id="0">
    <w:p w14:paraId="0FF2414D" w14:textId="77777777" w:rsidR="00665853" w:rsidRDefault="00665853" w:rsidP="007A5D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7FCC7" w14:textId="77777777" w:rsidR="007A5DC7" w:rsidRDefault="007A5DC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BB20EB" w14:textId="77777777" w:rsidR="007A5DC7" w:rsidRPr="007A5DC7" w:rsidRDefault="007A5DC7" w:rsidP="007A5DC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D13282" w14:textId="77777777" w:rsidR="007A5DC7" w:rsidRDefault="007A5DC7">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5853"/>
    <w:rsid w:val="0000552D"/>
    <w:rsid w:val="003337F7"/>
    <w:rsid w:val="00405B0C"/>
    <w:rsid w:val="00595DA5"/>
    <w:rsid w:val="00665853"/>
    <w:rsid w:val="006A09DA"/>
    <w:rsid w:val="006F397C"/>
    <w:rsid w:val="007A5DC7"/>
    <w:rsid w:val="007C3914"/>
    <w:rsid w:val="008A0397"/>
    <w:rsid w:val="009E3904"/>
    <w:rsid w:val="00A14570"/>
    <w:rsid w:val="00C653AA"/>
    <w:rsid w:val="00E0538A"/>
    <w:rsid w:val="00F5355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35908"/>
  <w15:chartTrackingRefBased/>
  <w15:docId w15:val="{365B2018-9A95-4CF9-B771-1A202B4F4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noProo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KeinAbsatzformat">
    <w:name w:val="[Kein Absatzformat]"/>
    <w:rsid w:val="007A5DC7"/>
    <w:pPr>
      <w:autoSpaceDE w:val="0"/>
      <w:autoSpaceDN w:val="0"/>
      <w:adjustRightInd w:val="0"/>
      <w:spacing w:after="0" w:line="288" w:lineRule="auto"/>
      <w:textAlignment w:val="center"/>
    </w:pPr>
    <w:rPr>
      <w:rFonts w:ascii="MinionPro-Regular" w:hAnsi="MinionPro-Regular" w:cs="MinionPro-Regular"/>
      <w:color w:val="000000"/>
      <w:sz w:val="24"/>
      <w:szCs w:val="24"/>
      <w14:ligatures w14:val="standardContextual"/>
    </w:rPr>
  </w:style>
  <w:style w:type="paragraph" w:styleId="Kopfzeile">
    <w:name w:val="header"/>
    <w:basedOn w:val="Standard"/>
    <w:link w:val="KopfzeileZchn"/>
    <w:uiPriority w:val="99"/>
    <w:unhideWhenUsed/>
    <w:rsid w:val="007A5DC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A5DC7"/>
    <w:rPr>
      <w:noProof/>
    </w:rPr>
  </w:style>
  <w:style w:type="paragraph" w:styleId="Fuzeile">
    <w:name w:val="footer"/>
    <w:basedOn w:val="Standard"/>
    <w:link w:val="FuzeileZchn"/>
    <w:uiPriority w:val="99"/>
    <w:unhideWhenUsed/>
    <w:rsid w:val="007A5DC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A5DC7"/>
    <w:rPr>
      <w:noProof/>
    </w:rPr>
  </w:style>
  <w:style w:type="character" w:styleId="Hyperlink">
    <w:name w:val="Hyperlink"/>
    <w:basedOn w:val="Absatz-Standardschriftart"/>
    <w:uiPriority w:val="99"/>
    <w:unhideWhenUsed/>
    <w:rsid w:val="009E390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exandra.stockmeyer@tettnang.de"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image" Target="media/image2.svg"/><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R:\Buero_BM\Presse\047.40_Pressearbeit\Vorlagen\Vorlage%20PA_Farb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Vorlage PA_Farbe.dotx</Template>
  <TotalTime>0</TotalTime>
  <Pages>2</Pages>
  <Words>545</Words>
  <Characters>3438</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Stockmeyer,Alexandra</dc:creator>
  <cp:keywords/>
  <dc:description/>
  <cp:lastModifiedBy>Stockmeyer,Alexandra</cp:lastModifiedBy>
  <cp:revision>3</cp:revision>
  <dcterms:created xsi:type="dcterms:W3CDTF">2026-10-16T08:56:00Z</dcterms:created>
  <dcterms:modified xsi:type="dcterms:W3CDTF">2026-10-19T09:09:00Z</dcterms:modified>
</cp:coreProperties>
</file>